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uczestnictwo w wykładach - 30 godzin,
b) udział w konsultacjach - 5 godzin.
2) Praca własna studenta - 40 godzin, w tym:
a) przygotowanie do zajęć - 10 godzin,
b) przygotowanie do sprawdzianów - 30 godzin.
Razem 75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punkta ECTS - 35 godzin, w tym:
a) uczestnictwo w wykładach - 30 godzin,
b) udział w konsultacjach - 5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prawa cywilnego i administracyjnego, katastru nieruchomości oraz podstaw gospodarki gruntami na obszarach wiejskich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podstaw prawnych gospodarowania nieruchomościami Skarbu Państwa i jednostek samorządu terytorialnego, wywłaszczania nieruchomości oraz nabywania nieruchomości dla realizacji celów publicznych w trybie przepisów szczególnych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Kompetencje organów administracji publicznej w zakresie gospodarowania nieruchomościami. Zasoby nieruchomości. Cele publiczne w gospodarce nieruchomościami. 
Wywłaszczanie nieruchomości. Zwrot wywłaszczonych nieruchomości. Obrót nieruchomościami stanowiącymi własność Skarbu Państwa lub jednostek samorządu terytorialnego. Prawo pierwokupu nieruchomości. Pierwszeństwo nabycia nieruchomości. Podziały nieruchomości. Scalenie i podział nieruchomości. Opłaty adiacenckie. Nabywanie nieruchomości przez cudzoziemców. Uwłaszczenie osób prawnych. Przekształcenie prawa użytkowania wieczystego w prawo własności nieruchomości. Przepisy szczególne w gospodarce nieruchomościami.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w trakcie semestru, możliwość poprawiania jednego sprawdzianu.
Zaliczenie przedmiotu - ocena łączna - średnia arytmetyczna z dwóch pozytywnych ocen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Zofia Śmiałowska-Uberman – Kompendium wiedzy prawnej dla geodetów, Wyd. Gall 2003r. 2. Ryszard Hycner – Zagadnienia geodezyjno-prawne w gospodarce nieruchomościami – Wyd. Gall 2006r. 3. Tadeusz Woś – Wywłaszczenie i zwrot nieruchomości – Wyd. PWN 1998r. 4. Gerard Bieniek, Zenon Marmaj - Użytkowanie wieczyste w praktyce, problematyka prawna – ZCO 1999r. 5. Ustawa z dnia 21 sierpnia 1997r.o gospodarce nieruchomościami – Dz. U. z 2004r. nr 261, poz. 2603 z późn. zm. 6. Przepisy wykonawcze i standardy techniczne.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GK.SIK718_K01: </w:t>
      </w:r>
    </w:p>
    <w:p>
      <w:pPr/>
      <w:r>
        <w:rPr/>
        <w:t xml:space="preserve">rozumie potrzebę i zna możliwości ciągłego dokształcania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GK.SIK718_W01: </w:t>
      </w:r>
    </w:p>
    <w:p>
      <w:pPr/>
      <w:r>
        <w:rPr/>
        <w:t xml:space="preserve">ma podstawową wiedzę techniczną i prawną z zakresu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K_W16,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T1A_W05, T1A_W06, T1A_W07, T1A_W03, T1A_W08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GK.SIK718_U01: </w:t>
      </w:r>
    </w:p>
    <w:p>
      <w:pPr/>
      <w:r>
        <w:rPr/>
        <w:t xml:space="preserve">potrafi pracować indywidualnie i w zespole, potrafi korzystać z danych państwowego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T1A_U13, T1A_U14, T1A_U16, 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2024-05-19T20:16:24+02:00</dcterms:created>
  <dcterms:modified xsi:type="dcterms:W3CDTF">2024-05-19T20:16:24+02:00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