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Wybrane zagadnienia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
b) udział w konsultacjach - 2 godziny
2) Praca własna studenta - 18 godzin, w tym:
a) przygotowanie do sprawdzianów - 14 godzin,
b) zapoznanie się ze wskazaną literaturą - 4 godziny,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- 30 godzin
b)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podstaw statystyki i ekonometrii dla potrzeb wyceny nieruchomości, podstaw matematyki finansowej, wyceny masowej oraz zasad wyceny wybranych rodzajów nieruchomości a także umiejętności dokonywania niezbędnych obliczeń w ww. zakresach.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statystyki i ekonometrii obejmujące: elementy teorii badania zbiorów statystycznych w tym: rozkłady prawdopodobieństwa zmiennych losowych, statystyki opisowe, przedziały ufności dla średniej i wariancji, elementy weryfikacji hipotez statystycznych; model ekonometryczny i jego elementy w tym: dobór analitycznej postaci modelu, estymacja parametrów metodą najmniejszych kwadratów, weryfikacja modelu.
Podstawy matematyki finansowej obejmujące: podstawy teorii wartości pieniądza w czasie; źródła zmiany wartości pieniądza; przyszłą wartość pieniądza w tym: oprocentowanie proste, oprocentowanie złożone, rodzaje stóp procentowych, przykłady obliczeniowe; obecną wartość pieniądza w tym: pojęcie dyskontowania, stopy dyskontowej i współczynnika dyskonta, obecna wartość jednorazowego dochodu, pojęcie przepływów pieniężnych, obecna wartość stałych i zmiennych dochodów.
Wycena masowa w tym: powszechna taksacja nieruchomości, nieruchomość reprezentatywna, mapy i tabele taksacyjne, ustalanie wartości katastralnych w procesie powszechnej taksacji nieruchomości, rola i zadania rzeczoznawcy majątkowego w procesie powszechnej taksacji nieruchomości.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
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GK.SMOB207_W1: </w:t>
      </w:r>
    </w:p>
    <w:p>
      <w:pPr/>
      <w:r>
        <w:rPr/>
        <w:t xml:space="preserve">ma poszerzoną wiedzę z zakresu wyceny nieruchomości zurbanizowanych oraz masowej wyceny nieruchomości a także wiedzę w zakresie statystyki i ekonometrii oraz matematyki finansowej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GK.SMOB207_U1: </w:t>
      </w:r>
    </w:p>
    <w:p>
      <w:pPr/>
      <w:r>
        <w:rPr/>
        <w:t xml:space="preserve">potrafi sporządzić operat szacunkowy nieruchomości zurbanizowanej w tym określić jej wartość rynkową i odtworzeniową oraz przeprowadzić analizy rynku nieruchomości z wykorzystaniem programów służących do obliczania statystyk opisowych oraz modelowania ekonometrycznego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2026-02-28T05:58:02+01:00</dcterms:created>
  <dcterms:modified xsi:type="dcterms:W3CDTF">2026-02-28T05:58:02+01:00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