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65 godzin, w tym:
a) uczestnictwo w wykładach - 30 godzin
b) uczestnictwo w ćwiczeniach - 30 godzin,
c) udział w konsultacjach związanych z realizacją ćwiczeń - 5 godzin.
2) Praca własna studenta -  60 godzin, w tym:
a) zapoznanie się ze wskazaną literaturą - 15 godzin,
b)  realizacja zadań projektowych w domu - 20 godzin,
c) przygotowanie do egzaminu  i obecność na egzaminie - 25 godzin.
RAZEM: 125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 godzin, w tym:
a) uczestnictwo w wykładach - 30 godzin
b) uczestnictwo w ćwiczeniach - 30 godzin,
c) udział w konsultacjach związanych z realizacją ćwiczeń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godzin, w tym:
a) uczestnictwo w ćwiczeniach - 30 godzin,
b)  realizacja zadań projektowych w domu - 20 godzin,
c) zapoznanie się ze wskazaną literaturą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Źródła danych do numerycznego opisu granic działki ewidencyjnej – problematyka techniczna i prawna. Dokumentacja z założenia ewidencji gruntów i budynków według uprzednio obowiązujących przepisów i możliwość jej wykorzystania m.in. dla numerycznego opisu granic działki ewidencyjnej.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 – uwarunkowania formalno – prawne i techniczne. Zasady modernizacji ewidencji gruntów i budynków. Powiązania katastru z księgami wieczystymi oraz systemem podatkowym.
Ćwiczenia laboratoryjne:
Założenie katastru nieruchomości dla wybranego obrębu ewidencyjnego. Sporządzenie dokumentacji niezbędnej do założenia księgi wieczystej. Analiza struktury ksiąg wieczystych w tym sporządzenie protokołu badania wybranej księgi wieczystej.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
Ocena łączna określona na podstawie średniej arytmetycznej z egzaminu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egzaminu.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(Dz.U.2010.193.1287 z późn. zmianami),
Rozporządzenie Ministra Rozwoju Regionalnego i Budownictwa z dnia 29 marca 2001r. w sprawie ewidencji gruntów i budynków (Dz. U. z dnia 2 maja 2001r. z późn. zmianami),
Rozporządzenie Ministra Infrastruktury z dnia 12 kwietnia 2002r. w sprawie warunków technicznych, jakim powinny odpowiadać budynki i ich usytuowanie (Dz.U.2002.75.690)
Rozporządzenie Rady Ministrów z dnia 10 grudnia 2010r. w sprawie Klasyfikacji Środków Trwałych (KŚT) (Dz.U.2010.242.1622),
Rozporządzenie Rady Ministrów z dnia 30 grudnia 1999r. w sprawie Polskiej Klasyfikacji Obiektów Budowlanych (PKOB) (Dz.U.1999.112.1316),
Rozporządzenie Ministra Administracji i Cyfryzacji z dnia 9 stycznia 2012r. w sprawie ewidencji miejscowości, ulic i adresów (Dz.U.2012.125)
Ustawa z dnia 24 czerwca 1994 r. o własności lokali. (Dz.U.2000.80.903),
Ustawa z dnia 21 czerwca 2001 r. – o ochronie praw lokatorów, mieszkaniowym zasobie gminy  i o zmianie Kodeksu cywilnego (Dz.U.2014.150),
Ustawa z dnia 23 kwietnia 1964r. Kodeks Cywilny (Dz.U.2014.121 z późn. zmianami)
Ustawa z dnia 6 lipca 1982r. o księgach wieczystych i hipotece (Dz.U.2013.707 z późn. zmianami),
Rozporządzenie Ministra Sprawiedliwości z dnia 21 listopada 2013r. w sprawie zakładania i prowadzenia ksiąg wieczystych w systemie informatycznym (Dz.U.2013.1411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GK.SIK515_W01: </w:t>
      </w:r>
    </w:p>
    <w:p>
      <w:pPr/>
      <w:r>
        <w:rPr/>
        <w:t xml:space="preserve">Ma wiedzę na temat podstawowych zasad funkcjonowania katastru w Polsce w ujęciu prawnym i technicznym, w tym jego zakładania i zasilania danymi z różnych prac geodezyjnych,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egzaminie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GK.SIK515_U01: </w:t>
      </w:r>
    </w:p>
    <w:p>
      <w:pPr/>
      <w:r>
        <w:rPr/>
        <w:t xml:space="preserve">Potrafi pozyskać niezbędne dane do założenia i aktualizacji katastru nieruchomości oraz założyć bazę danych katastralnych, a także przygotować dokumentację niezbędną do założenia księgi wieczystej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GK.SIK515_K01: </w:t>
      </w:r>
    </w:p>
    <w:p>
      <w:pPr/>
      <w:r>
        <w:rPr/>
        <w:t xml:space="preserve">ma świadomość ważności zadania jakim jest założenie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2025-12-27T03:54:23+01:00</dcterms:created>
  <dcterms:modified xsi:type="dcterms:W3CDTF">2025-12-27T03:54:23+01:00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