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K_W22: </w:t>
      </w:r>
    </w:p>
    <w:p>
      <w:pPr/>
      <w:r>
        <w:rPr/>
        <w:t xml:space="preserve">ma wiedzę o celach planowania infrastruktury technicznej oraz uregulowaniach prawnych dotyczacych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ma podstawową wiedze niezbędną do rozumienia społecznych, ekonomicznyc, prawnych i technicznych aspektów gospodarowania i administrowania infrastrukturą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przygotować i przedstawić krótką prezentację poświęconą wynikom realizacji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stosując podstawowe techniki informacyjno-komunkacyjne potrafi przedstawiś istniejący i planowany stan zagospodarowania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K_U17: </w:t>
      </w:r>
    </w:p>
    <w:p>
      <w:pPr/>
      <w:r>
        <w:rPr/>
        <w:t xml:space="preserve">potrafi wykonać rysunek miejscowego planu zagospodarowanie przestzrennego wybranego terenu w zakresie infrastruktury techniczne 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ważności i rozumie pozatechniczne aspekty i skutki działalności inzyniera gospodarki przestrzennej, w tym jej wpływ na środowisko i związana z tm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nawiązać kontakt z róznymi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ma wyrobioną świadomość zawodowej i społecznej odpowiedzialności przy podejmowaniu decyzji administracyjnych odnoszących się do lokalizacji inestycji w infrastrukturę 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2024-05-19T23:33:35+02:00</dcterms:created>
  <dcterms:modified xsi:type="dcterms:W3CDTF">2024-05-19T23:33:35+02:00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