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K_W22: </w:t>
      </w:r>
    </w:p>
    <w:p>
      <w:pPr/>
      <w:r>
        <w:rPr/>
        <w:t xml:space="preserve">ma wiedzę o celach planowania infrastruktury technicznej oraz uregulowaniach prawnych dotyczacych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ma podstawową wiedze niezbędną do rozumienia społecznych, ekonomicznyc, prawnych i technicznych aspektów gospodarowania i administrowania infrastrukturą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przygotować i przedstawić krótką prezentację poświęconą wynikom realizacji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stosując podstawowe techniki informacyjno-komunkacyjne potrafi przedstawiś istniejący i planowany stan zagospodarowania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potrafi wykonać rysunek miejscowego planu zagospodarowanie przestzrennego wybranego terenu w zakresie infrastruktury techniczne 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ważności i rozumie pozatechniczne aspekty i skutki działalności inzyniera gospodarki przestrzennej, w tym jej wpływ na środowisko i związana z tm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nawiązać kontakt z róznymi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ma wyrobioną świadomość zawodowej i społecznej odpowiedzialności przy podejmowaniu decyzji administracyjnych odnoszących się do lokalizacji inestycji w infrastrukturę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2024-05-16T00:28:21+02:00</dcterms:created>
  <dcterms:modified xsi:type="dcterms:W3CDTF">2024-05-16T00:28:21+02:00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