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SIS510</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(udział w wykładach: 15x1godz.=15godz., udział w zajęciach projektowych: 15x1godz.=15godz., przygotowanie do zajęć projektowych: 15x1godz=15godz., dokończenie (w domu) sprawozdań z zajęć projektowych: 15 x 2 godz. = 30 godz., udział w konsultacjach związanych z realizacją projektu: 5 x 1 godz. = 5 godz. (zakładamy, że student korzysta z co trzecich konsultacji), realizacja zadań projektowych: 20 godz. 
Łączny nakład pracy studenta wynosi zatem 100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15x1godz.=15godz., udział w zajęciach projektowych: 15x1godz.=15godz., udział w konsultacjach związanych z realizacją: 5x1godz.=5godz. (zakładamy, że student korzysta z co trzecich konsultacji). Łączny nakład pracy studenta wynosi 35godz.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(udział w zajęciach projektowych: 15x1godz.=15godz., przygotowanie do zajęć projektowych: 15x1godz=15godz., dokończenie (w domu) sprawozdań z zajęć projektowych: 15 x 2 godz. = 30 godz., udział w konsultacjach związanych z realizacją projektu: 5 x 1 godz. = 5 godz. (zakładamy, że student korzysta z co trzecich konsultacji), realizacja zadań projektowych: 20 godz. Łączny nakład pracy studenta wynosi 85godz.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Projekt: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Wykład: pisemny sprawdzian z tematyki wykładów
Projekt: wykonanie, prezentacja i obrona poszczególnych analiz, studiów i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Bajerowski T., Biłozor A., Cieślak I., Senetra A., Szczepańska A., Ocena i wycena krajobrazu. Wybrane problemy rynkowej oceny i wyceny krajobrazu wiejskiego, miejskiego i stref przejściowych, praca zbiorowa pod red. T. Bajerowskiego, Wyd. Educaterra, Olsztyn 2007, 
Europejska Konwencja Krajobrazowa, (European Landscape Convention), Council of Europe, Doc.8833, 25 Sept. 2000, (Dz.U. z dn. 29 stycznia 2006), 
Krzymowska-Kostrowicka A., Geoekologia turystyki  i wypoczynku, PWN, Warszawa 1999, 
Kupidura A., Łuczewski M., Kupidura P., 2011, Wartość krajobrazu. Rozwój przestrzeni obszarów wiejskich, PWN, Warszawa, 
Ocena i wycena zasobów przyrodniczych, praca zbiorowa pod red. J. Szyszko, J. Rylke, P. Jeżowskiego, Wyd. SGGW, Warszawa 2002, 
Senetra A., Cieslak I., 2004, Kartograficzne aspekty oceny i waloryzacji przestrzeni, Wyd. UWM, Olsztyn, 
Wejchert K., Elementy kompozycji urbanistycznej, Arkady, Warszawa 1974, 
Wojciechowski K. H. Problemy percepcji i oceny estetycznej krajobrazu, Wyd. UMCS, Wydział Geologii i Nauk o Ziemi, Lublin 1986, 
Żarska B. Ochrona krajobrazu, Wyd. SGGW, Warszawa 2005.
</w:t>
      </w:r>
    </w:p>
    <w:p>
      <w:pPr>
        <w:keepNext w:val="1"/>
        <w:spacing w:after="10"/>
      </w:pPr>
      <w:r>
        <w:rPr>
          <w:b/>
          <w:bCs/>
        </w:rPr>
        <w:t xml:space="preserve">Witryna www przedmiotu: </w:t>
      </w:r>
    </w:p>
    <w:p>
      <w:pPr>
        <w:spacing w:before="20" w:after="190"/>
      </w:pPr>
      <w:r>
        <w:rPr/>
        <w:t xml:space="preserve">www.gospodarkaprzestrzenna.pw.edu.pl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ocena wykonania i obrony zadan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
      </w:r>
    </w:p>
    <w:p>
      <w:pPr>
        <w:keepNext w:val="1"/>
        <w:spacing w:after="10"/>
      </w:pPr>
      <w:r>
        <w:rPr>
          <w:b/>
          <w:bCs/>
        </w:rPr>
        <w:t xml:space="preserve">Efekt W_02: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 , </w:t>
      </w:r>
    </w:p>
    <w:p>
      <w:pPr>
        <w:keepNext w:val="1"/>
        <w:spacing w:after="10"/>
      </w:pPr>
      <w:r>
        <w:rPr>
          <w:b/>
          <w:bCs/>
        </w:rPr>
        <w:t xml:space="preserve">Efekt U_02: </w:t>
      </w:r>
    </w:p>
    <w:p>
      <w:pPr/>
      <w:r>
        <w:rPr/>
        <w:t xml:space="preserve">Potrafi analizować struktury przestrzenne i krajobrazowe w terenie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Nabywa umiejętność pracy w zespole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2024-05-14T00:46:46+02:00</dcterms:created>
  <dcterms:modified xsi:type="dcterms:W3CDTF">2024-05-14T00:46:46+02:00</dcterms:modified>
</cp:coreProperties>
</file>

<file path=docProps/custom.xml><?xml version="1.0" encoding="utf-8"?>
<Properties xmlns="http://schemas.openxmlformats.org/officeDocument/2006/custom-properties" xmlns:vt="http://schemas.openxmlformats.org/officeDocument/2006/docPropsVTypes"/>
</file>