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14h (wykład) + 14h (laboratorium) + 1h (kons. grupowe) + 1h (kons. indywidualne) + 2x9h (przygotowanie odpowiedzi na pytania przedkolokwialne) + 2x10h (opracowanie projektów przedkolokwialnych) + 20h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2x9h (przygotowanie odpowiedzi na pytania przedkolokwialne) + 2x10h (opracowanie projektów przedkolokwialnych) + 20h (opracowanie projektu) + 12h (przygotowanie do zaliczenia) = 70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							ma elementarną wiedzę z zakresu podstaw ergonomii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zna stan normalizacji prawnej w dziedzinie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potrafi określić fizjologiczne aspekty warunków ergonomicznych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POERG_U02: </w:t>
      </w:r>
    </w:p>
    <w:p>
      <w:pPr/>
      <w:r>
        <w:rPr/>
        <w:t xml:space="preserve">							potrafi dokonać ergonomicznej oceny obiektów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docenia potrzebę doskonalenia zawodowego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2024-05-19T04:12:43+02:00</dcterms:created>
  <dcterms:modified xsi:type="dcterms:W3CDTF">2024-05-19T04:12:43+02:00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