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&lt;ol&gt;&lt;li&gt;Istota samozatrudnienia. Korzyści i ryzyka towarzyszące samozatrudnieniu.
&lt;li&gt;Formy samozatrudnienia.
&lt;li&gt;Istota działalności gospodarczej . Źródła finansowania.
&lt;li&gt;Zasady podejmowania i prowadzenia działalności gospodarczej.
&lt;li&gt;Prawa i obowiązki przedsiębiorcy. 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&lt;li&gt;Zaliczenie i wystawienie ocen.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2005;&lt;br&gt; 
[2] Głuchowski, Prawo podatkowe, Warszawa 2011;&lt;br&gt;
[3] G. Szczodrowski. Polski system podatkowy. Wyd. naukowe PWN. W-wa 2007, Z. Ofierski, Prawo podatkowe, W-wa 2008;&lt;br&gt;
[4]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HESSZW1: </w:t>
      </w:r>
    </w:p>
    <w:p>
      <w:pPr/>
      <w:r>
        <w:rPr/>
        <w:t xml:space="preserve">Ma podstawową wiedzę na temat  istoty i celu samozatrudnienia. Zna regulacje prawne związane z samozatrudnieniem i obowiązki o charakterze publicznoprawnym. Zna wady i zalety wynikające z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HESSZK1: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2026-06-18T08:33:16+02:00</dcterms:created>
  <dcterms:modified xsi:type="dcterms:W3CDTF">2026-06-18T08:33:16+02:00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