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kompozytów asfaltowych</w:t>
      </w:r>
    </w:p>
    <w:p>
      <w:pPr>
        <w:keepNext w:val="1"/>
        <w:spacing w:after="10"/>
      </w:pPr>
      <w:r>
        <w:rPr>
          <w:b/>
          <w:bCs/>
        </w:rPr>
        <w:t xml:space="preserve">Koordynator przedmiotu: </w:t>
      </w:r>
    </w:p>
    <w:p>
      <w:pPr>
        <w:spacing w:before="20" w:after="190"/>
      </w:pPr>
      <w:r>
        <w:rPr/>
        <w:t xml:space="preserve">Piotr Radziszewski, Prof. dr hab. inż., Michał Sarnowski,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TEKOAS</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10 godz., ćwiczenia laboratoryjne 20 godz., przygotowanie do zajęć laboratoryjnych 10 godz., przygotowanie do zaliczenia przedmiotu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10 godz., ćwiczenia laboratoryjne 20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33 godz. = 1 ECTS: obecność w laboratorium 20 godz., przygotowanie do laboratorium 10 godz., napisanie sprawozdania i weryfikacja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&lt;br&gt;Umiejętność doboru materiałowego przy projektowaniu mieszanki typu beton asfaltowy do nawierzchni drogowych. &lt;br&gt;Podstawowa umiejętność doboru optymalnej technologii z zakresu mieszanek mineralno-asfaltowych stosowanych do warstw konstrukcyjnych nawierzchni drogowych spełniających warunki obciążenia i warunki klimatyczne. &lt;br&gt;Podstawowa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&lt;li&gt;Badania i ocena podstawowych właściwości asfaltów. Kompleksowa ocena właściwości lepiszczy asfaltowych na podstawie karty jakości asfaltu BTDC. &lt;li&gt;Mieszanki mineralno-asfaltowe (MMA): rodzaje, skład, metody otrzymywania, zakres stosowania, cechy techniczne, zastosowanie, metody produkcji i kontroli jakości. &lt;li&gt;Projektowanie składu mieszanki mineralnej o ciągłym uziarnieniu. Zasady ustalania składu MMA typu beton asfaltowy: szkielet mineralny, dobór ilości asfaltu dwoma metodami. &lt;li&gt;Indywidualne zaprojektowanie składu MMA typu beton asfaltowy, wykonanie próbek do badań, badanie właściwości wybranej mieszanki mineralno-asfaltowej. Metody badania i oceny właściwości MMA typu beton asfaltowy. &lt;li&gt;Ocena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Egzamin pisemny.&lt;br&gt;
Sprawozdanie z laboratorium oraz test.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2007;&lt;br&gt; 
[5] Roberts F. L., Kandhal P. S., Brown E. R., Lee D. and Kennedy T. W., “Hot Mix Asphalt Materials, Mixture Design, and Construction”, 2nd ed.., NAPA Education Foundation, Lanham, Maryland, 1996;&lt;br&gt;
[6] “The Asphalt Handbook”, Asphalt Institute, USA, manual series no. 4 (MS-4), 7th edition, 2007;&lt;br&gt;
[7] Usmani A. M., “Asphalt Science and Technology”, New York, 1997;&lt;br&gt;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TEKOASW1: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TEKOASU1: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TEKOASU2: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TEKOASU3: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 K1_U20</w:t>
      </w:r>
    </w:p>
    <w:p>
      <w:pPr>
        <w:spacing w:before="20" w:after="190"/>
      </w:pPr>
      <w:r>
        <w:rPr>
          <w:b/>
          <w:bCs/>
        </w:rPr>
        <w:t xml:space="preserve">Powiązane efekty obszarowe: </w:t>
      </w:r>
      <w:r>
        <w:rPr/>
        <w:t xml:space="preserve">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TEKOASK1: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2024-05-07T20:48:12+02:00</dcterms:created>
  <dcterms:modified xsi:type="dcterms:W3CDTF">2024-05-07T20:48:12+02:00</dcterms:modified>
</cp:coreProperties>
</file>

<file path=docProps/custom.xml><?xml version="1.0" encoding="utf-8"?>
<Properties xmlns="http://schemas.openxmlformats.org/officeDocument/2006/custom-properties" xmlns:vt="http://schemas.openxmlformats.org/officeDocument/2006/docPropsVTypes"/>
</file>