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(62h):
a)Wykład: 22h
b) Ćwiczenia: 34h
c) Konsultacje: 6h;
2) Liczba godzin pracy własnej studenta (90h): 
a) Przygotowanie do zajęć ćwiczeniowych: 30h;
b) Opracowanie zadań domowych: 30h;
c) Przygotowanie do egzaminu: 30h;
Razem: 152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(62h):
Wykład: 22h
Ćwiczenia: 34h
Konsultacje: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wystarczająca ilośc godzin na zaplanowany materiał</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MAT2Z_nst_WO1: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MAT2Z_nst_WO2: </w:t>
      </w:r>
    </w:p>
    <w:p>
      <w:pPr/>
      <w:r>
        <w:rPr/>
        <w:t xml:space="preserve">zna równania różniczkowe zwyczajne</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MAT2Z_nst_UO2: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MAT2Z_nst_KO1: </w:t>
      </w:r>
    </w:p>
    <w:p>
      <w:pPr/>
      <w:r>
        <w:rPr/>
        <w:t xml:space="preserve">Nauczył się logicznego myślenia</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2024-05-17T12:21:07+02:00</dcterms:created>
  <dcterms:modified xsi:type="dcterms:W3CDTF">2024-05-17T12:21:07+02:00</dcterms:modified>
</cp:coreProperties>
</file>

<file path=docProps/custom.xml><?xml version="1.0" encoding="utf-8"?>
<Properties xmlns="http://schemas.openxmlformats.org/officeDocument/2006/custom-properties" xmlns:vt="http://schemas.openxmlformats.org/officeDocument/2006/docPropsVTypes"/>
</file>