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kierunkowe do wyboru szt.3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 x 2 ECTS = 6 ECTS: godziny pracy studenta zgodnie z opisem wybranego przedmiotu.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 x 30 godz. = 90 godz. = 3,5 ECTS: 3 przedmioty po 30 godzin zajęć z nauczycielem akademickim każdy.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os/grupę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Przekazanie szczegółowej wiedzy związanej z wybranymi zagadnieniami z zakresu budownictwa zgodnie z zainteresowaniami studenta, przedstawienie trendów rozwojowych w budownictwie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: </w:t>
      </w:r>
    </w:p>
    <w:p>
      <w:pPr/>
      <w:r>
        <w:rPr/>
        <w:t xml:space="preserve">																					Kształtowanie umiejętności rozumienia technicznych i pozatechnicznych aspektów działalności inżynierskiej.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2024-05-03T18:38:29+02:00</dcterms:created>
  <dcterms:modified xsi:type="dcterms:W3CDTF">2024-05-03T18:38:29+02:00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