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= 4 ECTS: wykład (15 godzin), ćwiczenia audytoryjne (15 godzin), ćwiczenia projektowe (15 godzin), konsultacje na miejscu i na odległość (5 godzin), powtórzenie materiału z przedmiotów poprzedzających (5 godzin), przygotowanie do zajęć w czasie semestru (15 godzin), przygotowanie do egzaminu (3 godziny), egzamin (2 godziny).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wykład: 15 godzin, ćwiczenia audytoryjne: 15 godzin, ćwiczenia projektowe: 15 godzin, konsultacje na miejscu i na odległość: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ECTS: powtórzenie materiału z przedmiotów poprzedzających (5 godziny), przygotowanie do zajęć w czasie semestru (15 godzin), przygotowanie do egzaminu, egzamin (5 godzin).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(90 minut), którego tematem jest zagadnienie statyki  rusztów o węzłach sztywnych oraz prętów zakrzywionych w planie. Praca projektowa, której tematem jest analiza statyczna belki na sprężystym podłożu typu Winklera. Egzamin pisemny (120 minut) obejmujący trzy zagadnienia omawiane w trakcie kursu.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MECHKOW1: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MECHKOU1: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MECHKOK1: </w:t>
      </w:r>
    </w:p>
    <w:p>
      <w:pPr/>
      <w:r>
        <w:rPr/>
        <w:t xml:space="preserve">Samodzielna praca polegająca na rozwiązaniu zadania statyki.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2026-08-18T10:21:45+02:00</dcterms:created>
  <dcterms:modified xsi:type="dcterms:W3CDTF">2026-08-18T10:21:45+02:00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