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z zastosowaniem programów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Golubińska, dr inż., Marcin Niedośpiał,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ćwiczenia laboratoryjne (praca przy komputerze) 45 godzin; przygotowanie do zajęć w trakcie semestru oraz prace zaliczeniowe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ćwiczenia laboratoryjne (praca przy komputerze) 45 godz., konsultacje prac projektowych i ich zaliczenie 10h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ćwiczenia laboratoryjne (praca przy komputerze) 45 godzin; przygotowanie do zajęć w trakcie semestru 5godz.,  konsultacje i prace zaliczeniowe 15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na ostatnim lub przedostatnim semestrze zajęć. Zakłada się, że studenci zaliczyli przedmioty konstrukcyjne (konstrukcje żelbetowe, metalowe, drewniane) prowadzone na poprzedzających semestrach, gdyż przedmiot  ten w pewien sposób podsumowuje wiedzę zdobytą podczas toku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 modelowania konstrukcji, definicji obciążeń  i ich kombinacji , obliczeń statycznych,  interpretacji wyników oraz wymiarowania w programie Autodesk Robot Structural Analysis Professional. Po zaliczeniu przedmiotu student powinien umieć zastosować  zdobytą wiedzę w praktyce do projektowania oraz przy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&lt;br&gt;
• Ustawienia programu - preferencje zadania, materiały, normy, dokładność, jednostki itp.&lt;br&gt;
• Obciążenia konstrukcji - przypadki obciążeń, definicje obciążeń: obciążenia powierzchniowe i liniowe, kombinacje ręczne i automatyczne, okładziny.&lt;br&gt;
• Konstrukcje prętowe – płaskie i przestrzenne; definicja prętów, modelowanie połączeń (węzłów) i podpór, materiały, charakterystyki przekroju, funkcje zaawansowane konstrukcji prętowych.&lt;br&gt;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siatek.&lt;br&gt;
• Rezultaty dla konstrukcji prętowych i płytowych – interpretacja rezultatów, rezultaty tabelaryczne sił, przemieszczeń i reakcji; wykresy sił, przemieszczeń i reakcji; mapy, izolinie i wartości w elementach skończonych, przecięcia przez panele, uwzględnienie rozmiaru podpór słupowych w rezultatach.&lt;br&gt;
• Wymiarowanie elementów stalowych i żelbetowych – parametry normowe, definicje grup i prętów, konfiguracja obliczeń; zbrojenie elementów żelbetowych – definicja parametrów zbrojenia, zbrojenie teoretyczne i rzeczywiste, weryfikacja ugięcia elementu zarysowanego.&lt;br&gt;
• Współpraca elementów prętowych z powierzchniowymi – wpływ zmiany sztywności podparcia na wyniki statyki i ugięcia (offsety itp.), wpływ siatkowania ES na rezultaty nad słupami.&lt;br&gt;
• Problemy występujące podczas analizy konstrukcji – analiza liniowa i nieliniowa, analiza modalna, niespójności, zmiana parametrów brzegowych.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&lt;br&gt;Student jest zobowiązany do wykonania prac domowych (projektów zaliczeniowych), które należy zakończyć i obronić w terminie określonym w regulaminie przedmiotu – ocena zależy od jakości projektów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&lt;br&gt;Materiały własne szkoleniowe.
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PROKOMPW01: </w:t>
      </w:r>
    </w:p>
    <w:p>
      <w:pPr/>
      <w:r>
        <w:rPr/>
        <w:t xml:space="preserve">Zna możliwości i zakres stosowania programu ARSA Pro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T2A_W07</w:t>
      </w:r>
    </w:p>
    <w:p>
      <w:pPr>
        <w:keepNext w:val="1"/>
        <w:spacing w:after="10"/>
      </w:pPr>
      <w:r>
        <w:rPr>
          <w:b/>
          <w:bCs/>
        </w:rPr>
        <w:t xml:space="preserve">Efekt PROKOMPW02: </w:t>
      </w:r>
    </w:p>
    <w:p>
      <w:pPr/>
      <w:r>
        <w:rPr/>
        <w:t xml:space="preserve">Zna zasady modelowania konstrukcji prętowych i powierzchniowych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PROKOMPU01: </w:t>
      </w:r>
    </w:p>
    <w:p>
      <w:pPr/>
      <w:r>
        <w:rPr/>
        <w:t xml:space="preserve">Potrafi zbudować  przestrzenny układ prętowy,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K2_U14_KBI, K2_U18_KBI, K2_U19_KBI, K2_U21_KBI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T2A_U07, T2A_U08, T2A_U09, T2A_U08, T2A_U09, T2A_U10, T2A_U18,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PROKOMPU02: </w:t>
      </w:r>
    </w:p>
    <w:p>
      <w:pPr/>
      <w:r>
        <w:rPr/>
        <w:t xml:space="preserve">Potrafi zamodelować układ powierzchniowy,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K2_U14_KBI, K2_U18_KBI, K2_U19_KBI,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T2A_U08, T2A_U15, T2A_U07, T2A_U08, T2A_U09, T2A_U08, T2A_U09, T2A_U10, T2A_U18, T2A_U11,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2024-05-03T12:35:47+02:00</dcterms:created>
  <dcterms:modified xsi:type="dcterms:W3CDTF">2024-05-03T12:35:47+02:00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