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Betonowe konstrukcje wsporcze obciążone dynamicznie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Zofia Kozyra, dr inż. Rafał Ostromęcki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BKWOBD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 godz., ćwiczenia 15 godz., opracowanie i zaliczenie projektu 7h, konsultacje 3h, przygotowanie do zaliczenia wykładu 10h.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33 godz. = 1 ECTS: wykład 15 godz., ćwiczenia 15 godz, konsultacje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ćwiczenia 15 godz., opracowanie projektu 10h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Zakłada się, że student dysponuje wiedzą z zakresu teorii konstrukcji żelbetowych, wytrzymałości materiałów i mechaniki budowli w stopniu odpowiadającym osiągniętemu etapowi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do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problematyką projektowania fundamentów oraz konstrukcji wsporczych obciążonych dynamicznie.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charakterystyka konstrukcji obciążonych dynamicznie, rodzaje obciążeń, obliczanie częstotliwości drgań własnych, współczynnik dynamiczny, zbrojenie konstrukcji.
Ćwiczenia: opracowanie projektu fundamentu pod maszynę.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kolokwium.
Zaliczenie ćwiczeń: opracowanie i oddanie projektu.
Końcowa ocenę stanowi średnią z zaliczenia wykładu i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Lipiński J.: „Fundamenty pod maszyny” wyd.  Arkady, Warszawa 1985
Krall L.: „Elementy budownictwa przemysłowego”, wyd. PWN Warszawa 1974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BKWOBDW1: </w:t>
      </w:r>
    </w:p>
    <w:p>
      <w:pPr/>
      <w:r>
        <w:rPr/>
        <w:t xml:space="preserve">Zna zagadnienia związane z konstrukcjami żelbetowymi obciążonymi maszynami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obejmujące zakres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K2_W11_KBI, K2_W15_KBI, K2_W16_KBI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T2A_W07, T2A_W03, T2A_W04, T2A_W05, T2A_W06, T2A_W07, T2A_W03,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BKWOBDU1: </w:t>
      </w:r>
    </w:p>
    <w:p>
      <w:pPr/>
      <w:r>
        <w:rPr/>
        <w:t xml:space="preserve">Zna zagadnienia niezbędne do zaprojektowania żelbetowego fundamentu pod maszynę.						...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wykładu; wykonanie i obrona projektu fundamentu pod maszynę.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K2_U11_KBI, K2_U14_KBI, K2_U23_KBI, K2_U24_KBI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T2A_U08, T2A_U10, T2A_U08, T2A_U15, T2A_U10, T2A_U17, T2A_U19, T2A_U02, T2A_U07, T2A_U13,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BKWOBDK1: </w:t>
      </w:r>
    </w:p>
    <w:p>
      <w:pPr/>
      <w:r>
        <w:rPr/>
        <w:t xml:space="preserve">Ma świadomość odpowiedzialności pracy inżyniera budowlanego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2025-04-13T07:23:40+02:00</dcterms:created>
  <dcterms:modified xsi:type="dcterms:W3CDTF">2025-04-13T07:23:40+02:00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