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  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TEMAND</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godz.=3 ECTS: wykład 30, laboratorium 30, przygotowanie do zajęć laboratoryjnych 15, zapoznanie z literaturą 5, przygotowanie sprawozdania z laboratoriów 10, przygotowanie do zaliczenia przedmiotu i obecność na egzaminie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godz.=2 ECTS: wykład 30, laboratorium 30, konsultacje sprawozdań i egzamin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godz.=1 ECTS: obecność w laboratorium 30, przygotowanie do zajęć laboratoryjnych 15, przygotowanie sprawozdania z laboratoriów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2003.&lt;br&gt;
[2] Piłat J., Radziszewski P., Nawierzchnie asfaltowe. WKiŁ, Warszawa 2010.&lt;br&gt;
[3] Gaweł I., M. Kalabińska, Piłat J.,Asfalty drogowe. WKiŁ, Warszawa 2001.&lt;br&gt;
[4] Roberts F. L., Kandhal P. S., Brown E. R., Lee D. and Kennedy T. W., Hot Mix Asphalt Materials, Mixture Design, and Construction, 2nd ed.., NAPA Education Foundation, Lanham, Maryland, 1996.&lt;br&gt;
[5] The Asphalt Handbook, Asphalt Institute, USA, manual series no. 4 (MS-4), 7th edition, 2007. &lt;br&gt;
[6] Usmani A. M., Asphalt Science and Technology, New York, 1997.  &lt;br&gt;
[7] Read J. and Whiteoak D., The Shell Bitumen Handbook, 5th edition, 2003.&lt;br&gt;</w:t>
      </w:r>
    </w:p>
    <w:p>
      <w:pPr>
        <w:keepNext w:val="1"/>
        <w:spacing w:after="10"/>
      </w:pPr>
      <w:r>
        <w:rPr>
          <w:b/>
          <w:bCs/>
        </w:rPr>
        <w:t xml:space="preserve">Witryna www przedmiotu: </w:t>
      </w:r>
    </w:p>
    <w:p>
      <w:pPr>
        <w:spacing w:before="20" w:after="190"/>
      </w:pPr>
      <w:r>
        <w:rPr/>
        <w:t xml:space="preserve">http.//www.il.pw.edu.pl/p.radziszewski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TEMANDW1: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TEMANDW2: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TEMANDU1: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TEMANDU2: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TEMANDK1: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2024-05-01T22:56:31+02:00</dcterms:created>
  <dcterms:modified xsi:type="dcterms:W3CDTF">2024-05-01T22:56:31+02:00</dcterms:modified>
</cp:coreProperties>
</file>

<file path=docProps/custom.xml><?xml version="1.0" encoding="utf-8"?>
<Properties xmlns="http://schemas.openxmlformats.org/officeDocument/2006/custom-properties" xmlns:vt="http://schemas.openxmlformats.org/officeDocument/2006/docPropsVTypes"/>
</file>