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wiadomości i umiejętności z zakresu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P1 - Tolerowanie wymiarów (odchyłki i tolerancje symbolowe). P2 - Tolerowanie kształtu i położenia. P3 - Chropowatość powierzchni. P4 - Rysunek wykonawczy detalu o złożonych kształtach. P5 - Połączenia maszynowe i ich zapis w rysunku technicznym. P6 - Rysunek złożeniowy (tabelka i wykaz detali). P7 - Grafika przestrzenna (zasady pracy z modelami 3D): a) modele krawędziowe i powierzchniowe, b) modelowanie bryłowe (obiekty proste i bryły złożone).</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W07_02: </w:t>
      </w:r>
    </w:p>
    <w:p>
      <w:pPr/>
      <w:r>
        <w:rPr/>
        <w:t xml:space="preserve">Potrafi prawidłowo odczytać i zinterpretować symbole na rysunku technicznym. Zna zasady rzutów prostokątnych, potrafi odwzorować rzeczywisty detal w formie modelu 3 D.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w formie modelu 3D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							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2024-05-05T20:49:54+02:00</dcterms:created>
  <dcterms:modified xsi:type="dcterms:W3CDTF">2024-05-05T20:49:54+02:00</dcterms:modified>
</cp:coreProperties>
</file>

<file path=docProps/custom.xml><?xml version="1.0" encoding="utf-8"?>
<Properties xmlns="http://schemas.openxmlformats.org/officeDocument/2006/custom-properties" xmlns:vt="http://schemas.openxmlformats.org/officeDocument/2006/docPropsVTypes"/>
</file>