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www.pw.seipa.edu.pl </w:t>
      </w:r>
    </w:p>
    <w:p>
      <w:pPr>
        <w:keepNext w:val="1"/>
        <w:spacing w:after="10"/>
      </w:pPr>
      <w:r>
        <w:rPr>
          <w:b/>
          <w:bCs/>
        </w:rPr>
        <w:t xml:space="preserve">Uwagi: </w:t>
      </w:r>
    </w:p>
    <w:p>
      <w:pPr>
        <w:spacing w:before="20" w:after="190"/>
      </w:pPr>
      <w:r>
        <w:rPr/>
        <w:t xml:space="preserve">Zajęcia z przedmiotu składają się z 10 wykładów i 4 spotkań warsztatowych.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2024-05-04T03:43:01+02:00</dcterms:created>
  <dcterms:modified xsi:type="dcterms:W3CDTF">2024-05-04T03:43:01+02:00</dcterms:modified>
</cp:coreProperties>
</file>

<file path=docProps/custom.xml><?xml version="1.0" encoding="utf-8"?>
<Properties xmlns="http://schemas.openxmlformats.org/officeDocument/2006/custom-properties" xmlns:vt="http://schemas.openxmlformats.org/officeDocument/2006/docPropsVTypes"/>
</file>