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 I</w:t>
      </w:r>
    </w:p>
    <w:p>
      <w:pPr>
        <w:keepNext w:val="1"/>
        <w:spacing w:after="10"/>
      </w:pPr>
      <w:r>
        <w:rPr>
          <w:b/>
          <w:bCs/>
        </w:rPr>
        <w:t xml:space="preserve">Koordynator przedmiotu: </w:t>
      </w:r>
    </w:p>
    <w:p>
      <w:pPr>
        <w:spacing w:before="20" w:after="190"/>
      </w:pPr>
      <w:r>
        <w:rPr/>
        <w:t xml:space="preserve">Piotr Radziszewski, Prof. dr hab. inż., Prof. nzw.PW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TMIND1</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h = 2 ECTS: wykład 7h, ćwiczenia laboratoryjne 13h, przygotowanie do zajęć laboratoryjnych 10h, napisanie sprawozdania i weryfikacja 5h, zapoznanie z literaturą 5h, przygotowanie do zaliczenia przedmiotu 10h.</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 7h, ćwiczenia laboratoryjne 13h.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28 godz.=1 ECTS: obecność w laboratorium 13h, przygotowanie do laboratorium 10h, napisanie sprawozdania i weryfikacja 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195h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&lt;ol&gt;&lt;li&gt;Konstrukcja nawierzchni drogowej: nawierzchnia podatna, nawierzchnia półsztywna, nawierzchnia sztywna. 
&lt;li&gt;Asfalty, materiały kamienne: badania i ocena podstawowych właściwości kruszyw. 
&lt;li&gt;Badania i ocena podstawowych właściwości asfaltów. &lt;li&gt;Kompleksowa ocena właściwości lepiszczy asfaltowych na podstawie karty jakości asfaltu BTDC. 
&lt;li&gt;Mieszanki mineralno-asfaltowe (MMA): rodzaje, skład, metody otrzymywania, zakres stosowania, cechy techniczne, zastosowanie, metody produkcji i kontroli jakości. 
&lt;li&gt;Projektowanie składu mieszanki mineralnej o ciągłym uziarnieniu. 
&lt;li&gt;Zasady ustalania składu MMA typu beton asfaltowy: szkielet mineralny, dobór ilości asfaltu dwoma metodami. 
&lt;li&gt;Indywidualne zaprojektowanie składu MMA typu beton asfaltowy, wykonanie próbek do badań, badanie właściwości wybranej mieszanki mineralno-asfaltowej. 
&lt;li&gt;Metody badania i oceny właściwości MMA typu beton asfaltowy. 
&lt;li&gt;Ocena odporności betonu asfaltowego na działanie wody oraz ocena właściwości fizycznych. 
&lt;li&gt;Podstawy technologii nawierzchni z betonu cementowego: rodzaje nawierzchni, podstawy technologii wykonania.&lt;/ol&gt;</w:t>
      </w:r>
    </w:p>
    <w:p>
      <w:pPr>
        <w:keepNext w:val="1"/>
        <w:spacing w:after="10"/>
      </w:pPr>
      <w:r>
        <w:rPr>
          <w:b/>
          <w:bCs/>
        </w:rPr>
        <w:t xml:space="preserve">Metody oceny: </w:t>
      </w:r>
    </w:p>
    <w:p>
      <w:pPr>
        <w:spacing w:before="20" w:after="190"/>
      </w:pPr>
      <w:r>
        <w:rPr/>
        <w:t xml:space="preserve">Egzamin pisemny. Sprawozdanie i test zaliczeniowy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2003.&lt;br&gt; 
[2] Piłat J., Radziszewski P. Nawierzchnie asfaltowe. WKiŁ, Warszawa 2010.&lt;br&gt; 
[3] Gaweł, M. Kalabińska, J. Piłat – Asfalty drogowe. WKiŁ, Warszawa 2001.&lt;br&gt; 
[4] Błażejowski K., “SMA. Teoria i praktyka”, Warszawa 2007. &lt;br&gt;
[5] Roberts F. L., Kandhal P. S., Brown E. R., Lee D. and Kennedy T. W., “Hot Mix Asphalt Materials, Mixture Design, and Construction”, 2nd ed.., NAPA Education Foundation, Lanham, Maryland, 1996. &lt;br&gt;
[6] “The Asphalt Handbook”, Asphalt Institute, USA, manual series no. 4 (MS-4), 7th edition, 2007. &lt;br&gt;
[7] Usmani A. M., “Asphalt Science and Technology”, New York, 1997. &lt;br&gt;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TMINDW1: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TMINDW2: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TMINDW3: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TMINDU1: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TMINDU2: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TMINDU3: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TMINDK1: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2026-09-08T21:53:27+02:00</dcterms:created>
  <dcterms:modified xsi:type="dcterms:W3CDTF">2026-09-08T21:53:27+02:00</dcterms:modified>
</cp:coreProperties>
</file>

<file path=docProps/custom.xml><?xml version="1.0" encoding="utf-8"?>
<Properties xmlns="http://schemas.openxmlformats.org/officeDocument/2006/custom-properties" xmlns:vt="http://schemas.openxmlformats.org/officeDocument/2006/docPropsVTypes"/>
</file>