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Koszty i efektywność inwestycji</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KOSZTY</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udział w wykładach 10 godz., udział w ćwiczeniach 10 godz., przygotowanie do kolejnych wykładów (przejrzenie materiałów z wykładu i dodatkowej literatury, próba rozwiązania miniproblemów sformułowanych na wykładzie)  5 godz., udział w konsultacjach związanych z realizacją projektu  5 godz., realizacja zadań projektowych 10 godz., przygotowanie do kolokwium  oraz obecność na kolokwium 9 godz. + 1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ECTS: wykłady i ćwiczenia projektowe 20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20 godz. = 1 ECTS: ćwiczenia projektowe 10 godz., konsultacje 5 godz., realizacja zadań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Podstawy Ekonomiki, Kalkulacji Kosztów i Cen. Ponadto, student powinien wykazać się znajomością zagadnień organizacji i zarządzania w budownictwie.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zapoznaje się z metodami szacowania nakładów inwestycyjnych i z metodami badania efektywności programów inwestycyjnych, stosowanymi podczas badania wykonalności i formułowania założeń budowlanego przedsięwzięcia inwestycyjnego. W rezultacie, nabywa wiedzy niezbędnej do prawidłowego przygotowania przedsięwzięcia budowlanego do realizacji. Wiedza ta jest ugruntowywana praktycznie poprzez wykonanie ćwiczeń projektowych, umożliwiających nabycie umiejętności analizowania kosztów i korzyści inwestycyjnych na różnych etapach studiów przedrealizacyjnych przedsięwzięcia budowlanego.</w:t>
      </w:r>
    </w:p>
    <w:p>
      <w:pPr>
        <w:keepNext w:val="1"/>
        <w:spacing w:after="10"/>
      </w:pPr>
      <w:r>
        <w:rPr>
          <w:b/>
          <w:bCs/>
        </w:rPr>
        <w:t xml:space="preserve">Treści kształcenia: </w:t>
      </w:r>
    </w:p>
    <w:p>
      <w:pPr>
        <w:spacing w:before="20" w:after="190"/>
      </w:pPr>
      <w:r>
        <w:rPr/>
        <w:t xml:space="preserve">Studenci poznają: - klasyfikację nakładów inwestycyjnych oraz zasady i metody ustalania wartości kosztorysowej inwestycji budowlanej, - proste metody oceny efektywności wariantowych programów funkcjonalno – użytkowych inwestycji budowlanej, - zasady oceny efektywności wariantowych programów funkcjonalno – użytkowych inwestycji z uwzględnieniem metod dyskontowych, - zasady i metody uwzględniania ryzyka i niepewności w rachunku ekonomicznym inwestycji budowlanej, - zasady sporządzania opracowań analitycznych, stanowiących formalną podstawę podejmowania decyzji inwestycyjnych.</w:t>
      </w:r>
    </w:p>
    <w:p>
      <w:pPr>
        <w:keepNext w:val="1"/>
        <w:spacing w:after="10"/>
      </w:pPr>
      <w:r>
        <w:rPr>
          <w:b/>
          <w:bCs/>
        </w:rPr>
        <w:t xml:space="preserve">Metody oceny: </w:t>
      </w:r>
    </w:p>
    <w:p>
      <w:pPr>
        <w:spacing w:before="20" w:after="190"/>
      </w:pPr>
      <w:r>
        <w:rPr/>
        <w:t xml:space="preserve">Wykłady – zakończone sprawdzianem pisemnym. Ocena w skali od 2 do 5. Ćwiczenie projektowe oceniane w skali od 2 do 5. Ocena ostateczna przedmiotu: średnia ważona dwóch ocen z pisemnego zaliczenia wykładów (50% oceny łącznej) i zaliczenia ćwiczenia projektowego (50% oceny łącznej). Ocena może zostać podwyższona przez prowadzącego przedmiot za aktywność na zajęciach. Ocena może zostać obniżona przez prowadzącego za nieterminowość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Zajączkowska. Kalkulacja kosztorysowa w budownictwie i jej komputerowe wspomaganie. Wydawca: księgarnia budowlana ZAMPEX, Wyd. II., Kraków, 1999. 2. M. Sierpińska, T. Jachna. Ocena przedsiębiorstwa według standardów światowych. Wydawnictwo Naukowe PWN, Wyd. II, Warszawa 1994. 3. W.Behrens, P.M.Havranek, Poradnik przygotowania przemysłowych studiów feasibility, UNIDO,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KOSZTYW1: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K1_W13</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KOSZTYU1: </w:t>
      </w:r>
    </w:p>
    <w:p>
      <w:pPr/>
      <w:r>
        <w:rPr/>
        <w:t xml:space="preserve">Umie opracować założenia programowe niewielkiej inwestycji budowlanej. Umie oszacować całkowite nakłady inwestycyjne, zwiazane z realizacją okreslonego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K1_U14</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KOSZTYK1: </w:t>
      </w:r>
    </w:p>
    <w:p>
      <w:pPr/>
      <w:r>
        <w:rPr/>
        <w:t xml:space="preserve">Ma świadomość ważności ekonomicznych aspektów dzialałności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2026-04-18T18:30:46+02:00</dcterms:created>
  <dcterms:modified xsi:type="dcterms:W3CDTF">2026-04-18T18:30:46+02:00</dcterms:modified>
</cp:coreProperties>
</file>

<file path=docProps/custom.xml><?xml version="1.0" encoding="utf-8"?>
<Properties xmlns="http://schemas.openxmlformats.org/officeDocument/2006/custom-properties" xmlns:vt="http://schemas.openxmlformats.org/officeDocument/2006/docPropsVTypes"/>
</file>