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Dzierżanowski,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95 godzin = 4 ECTS: wykład (16 godzin), ćwiczenia (16 godzin), konsultacje na miejscu i na odległość (8 godzin), powtórzenie materiału z przedmiotów poprzedzających (5 godzin), przygotowanie do zajęć w czasie semestru (30 godzin), przygotowanie do egzaminu oraz egzamin (20 godzin).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40 godzin = 1,5 ECTS: wykład (16 godzin), ćwiczenia (16 godzin), konsultacje na miejscu i na odległość (8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godzin = 2 ECTS: powtórzenie materiału z przedmiotów poprzedzających (5 godzin), przygotowanie do zajęć w czasie semestru (30 godzin), przygotowanie do egzaminu oraz egzamin (20 godzin).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posługiwania się dowolnym programem matematycznych obliczeń numerycznych w zakresie rachunku macierzowego. Podstawowe umiejętności z zakresu algorytmizacji i programowania obliczeń. Rozumienie podstawowych zasad energetycznych mechaniki. Rozumienie i umiejętność rozwiązywania zagadnień w zakresie statyki konstrukcji prętowych, ujętych w programie studiów I stopnia WIL PW, w szczególności Metody Sił i Metody Przemieszczeń.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decyzji Dziekana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teorii i umiejętność stosowania metod obliczeniowych statyki konstrukcji z prętów smukłych w zakresie rusztów o węzłach sztywnych oraz prętów zakrzywionych w planie,  belek podpartych sprężyście i belek na sprężystym podłożu typu Winklera, ram płaskich z prętów połączonych sprężyście.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i metody obliczeniowe statyki konstrukcji z prętów smukłych w zakresie w zakresie rusztów o węzłach sztywnych oraz prętów zakrzywionych w planie, belek podpartych sprężyście i belek na sprężystym podłożu typu Winklera, ram płaskich z prętów połączonych sprężyście.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(90 minut), którego tematem jest zagadnienie statyki  rusztów o węzłach sztywnych oraz prętów zakrzywionych w planie. Praca projektowa, której tematem jest analiza statyczna belki na sprężystym podłożu typu Winklera. Egzamin pisemny (120 minut) obejmujący trzy zagadnienia omawiane w trakcie kursu.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MECHKOW1: </w:t>
      </w:r>
    </w:p>
    <w:p>
      <w:pPr/>
      <w:r>
        <w:rPr/>
        <w:t xml:space="preserve">Znajomość i rozumienie koncepcji rozwiązywania wybranych zadań statyki konstrukcji prętowych z uwzględnieniem sprężystości podpór i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opisowa pracy projektowej.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MECHKOU1: </w:t>
      </w:r>
    </w:p>
    <w:p>
      <w:pPr/>
      <w:r>
        <w:rPr/>
        <w:t xml:space="preserve">Umiejętność formułowania zadań statyki wybranych konstrukcji prętowych. Umiejętność interpretacji uzyskanych wyników. Umiejętność samodzielnego zastosowania właściwych metod obliczeniowych w odniesieniu do zadania statyki konstrukcji prętowych z uwzględnieniem sprężystości podpór i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obliczeniowa pracy projektowej.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MECHKOK1: </w:t>
      </w:r>
    </w:p>
    <w:p>
      <w:pPr/>
      <w:r>
        <w:rPr/>
        <w:t xml:space="preserve">Samodzielna praca polegająca na rozwiązaniu zadania statyki.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obliczeń i interpretacji otrzymanych wyników oraz przejrzystości opisu pracy projektowej.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2024-04-27T21:10:34+02:00</dcterms:created>
  <dcterms:modified xsi:type="dcterms:W3CDTF">2024-04-27T21:10:34+02:00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