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do wyboru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Zgodnie z wybranym przedmiotem.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PRFA1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9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 ECTS: godziny pracy studenta zgodnie z opisem wybranego przedmiotu.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30 godzin zajęć z nauczycielem akademickim.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Zgodnie z opisem wybranego przedmiotu.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Wymagania wstępne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Zgodny z wybranym typem zajęć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szczegółowej wiedzy związanej z wybranymi zagadnieniami z zakresu budownictwa zgodnie z zainteresowaniami studenta, przedstawienie trendów rozwojowych w budownictwie i kształtowanie umiejętności rozumienia technicznych i pozatechnicznych aspektów działalności inżynierskiej.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merytoryczne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lektur podany jest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PRFA1W1: </w:t>
      </w:r>
    </w:p>
    <w:p>
      <w:pPr/>
      <w:r>
        <w:rPr/>
        <w:t xml:space="preserve">Przekazanie szczegółowej wiedzy związanej z wybranymi zagadnieniami z zakresu budownictwa zgodnie z zainteresowaniami studenta, przedstawienie trendów rozwojowych w budownictwie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właściwa dla wybranego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PRFA1K1: </w:t>
      </w:r>
    </w:p>
    <w:p>
      <w:pPr/>
      <w:r>
        <w:rPr/>
        <w:t xml:space="preserve">Kształtowanie umiejętności rozumienia technicznych i pozatechnicznych aspektów działalności inżynierskiej.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właściwa dla wybranego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2024-04-30T05:34:50+02:00</dcterms:created>
  <dcterms:modified xsi:type="dcterms:W3CDTF">2024-04-30T05:34:50+02:00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