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HSZTCW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 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HSZTCWW1: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HSZTCWU1: </w:t>
      </w:r>
    </w:p>
    <w:p>
      <w:pPr/>
      <w:r>
        <w:rPr/>
        <w:t xml:space="preserve">Samodzielnie uzupełnia i poszerza wiedzę studiując zalecane lektury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HSZTCWK1: </w:t>
      </w:r>
    </w:p>
    <w:p>
      <w:pPr/>
      <w:r>
        <w:rPr/>
        <w:t xml:space="preserve">Rozumie oddziaływanie pozatechnicznych - artystycznych i symbolicznych - elementów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2026-02-09T05:20:08+01:00</dcterms:created>
  <dcterms:modified xsi:type="dcterms:W3CDTF">2026-02-09T05:20:08+01:00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