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– 8 godz.
b) konsultacje – 8 godz.
2. Praca własna studenta – 34 godziny, w tym:
a) zapoznanie się z literaturą przedmiotu i przygotowanie się do kolokwium - 34 godziny 
Łączny nakład pracy studenta wynosi 50 godzin,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– 8 godz.
b) 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Miasta i regiony - zmiany, dylematy rozwoju - przykłady.
2. Czynniki zmian w gospodarce przestrzennej.
3. Atrakcyjność inwestycyjna regionów.
4. 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 ocenę z kolokwium oraz ocenę z referatu zaprezentowanego na zajęciach, dotyczącego omawianych zagadnień.
Kolokwium obejmuje zagadnienia omawiane na wykładzie.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Warszawa 2006.
2. Gospodarka regionalna i lokalna, red. Zbigniew Strzelecki, PWN, Warszawa 2008.
3. Miasto jako przedmiot badań, red. Bohdan Jałowiecki, Wydawnictwo Naukowe Scholar,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GP.NIK505_W1: </w:t>
      </w:r>
    </w:p>
    <w:p>
      <w:pPr/>
      <w:r>
        <w:rPr/>
        <w:t xml:space="preserve">rozumie istotę procesu urbanizacji, zna jej rodzaje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GP.NIK505_W2: </w:t>
      </w:r>
    </w:p>
    <w:p>
      <w:pPr/>
      <w:r>
        <w:rPr/>
        <w:t xml:space="preserve">zna i rozpoznaje czynniki powodujące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GP.NIK505_U1: </w:t>
      </w:r>
    </w:p>
    <w:p>
      <w:pPr/>
      <w:r>
        <w:rPr/>
        <w:t xml:space="preserve">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GP.NIK505_K1: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GP.NIK505_K2: </w:t>
      </w:r>
    </w:p>
    <w:p>
      <w:pPr/>
      <w:r>
        <w:rPr/>
        <w:t xml:space="preserve">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2024-05-07T12:18:28+02:00</dcterms:created>
  <dcterms:modified xsi:type="dcterms:W3CDTF">2024-05-07T12:18:28+02:00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