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wykładach – 8 godz.
b) konsultacje – 8 godz.
2. Praca własna studenta – 34 godziny, w tym:
a) zapoznanie się z literaturą przedmiotu i przygotowanie się do kolokwium - 34 godziny 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– 8 godz.
b) 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ekonomii,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Miasta i regiony - zmiany, dylematy rozwoju - przykłady.
2. Czynniki zmian w gospodarce przestrzennej.
3. Atrakcyjność inwestycyjna regionów.
4. Społeczno - gospodarcze zróżnicowanie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obejmuje ocenę z kolokwium oraz ocenę z referatu zaprezentowanego na zajęciach, dotyczącego omawianych zagadnień.
Kolokwium obejmuje zagadnienia omawiane na wykładzie.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Warszawa 2006.
2. Gospodarka regionalna i lokalna, red. Zbigniew Strzelecki, PWN, Warszawa 2008.
3. Miasto jako przedmiot badań, red. Bohdan Jałowiecki, Wydawnictwo Naukowe Scholar,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GP.NIK505_W1: </w:t>
      </w:r>
    </w:p>
    <w:p>
      <w:pPr/>
      <w:r>
        <w:rPr/>
        <w:t xml:space="preserve">rozumie istotę procesu urbanizacji, zna jej rodzaje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GP.NIK505_W2: </w:t>
      </w:r>
    </w:p>
    <w:p>
      <w:pPr/>
      <w:r>
        <w:rPr/>
        <w:t xml:space="preserve">zna i rozpoznaje czynniki powodujące zmiany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GP.NIK505_U1: </w:t>
      </w:r>
    </w:p>
    <w:p>
      <w:pPr/>
      <w:r>
        <w:rPr/>
        <w:t xml:space="preserve">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GP.NIK505_K1: </w:t>
      </w:r>
    </w:p>
    <w:p>
      <w:pPr/>
      <w:r>
        <w:rPr/>
        <w:t xml:space="preserve">może swobodnie podjąć dyskusję na temat procesów urbanizacji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GP.NIK505_K2: </w:t>
      </w:r>
    </w:p>
    <w:p>
      <w:pPr/>
      <w:r>
        <w:rPr/>
        <w:t xml:space="preserve">ma przekonanie o sensie podejmowania działań w zakresie nauk ekonomicznych w środowisku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2026-07-28T13:28:08+02:00</dcterms:created>
  <dcterms:modified xsi:type="dcterms:W3CDTF">2026-07-28T13:28:08+02:00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