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37 godzin, w tym:
a) uczestnictwo w wykładach - 8 godzin
b) uczestnictwo w ćwiczeniach - 16 godzin
c) udział w konsultacjach związanych z realizacją ćwiczeń - 11 godzin
d) obecność na egzaminie - 2 godziny
2. Praca własna studenta -  63 godziny, w tym:
a) zapoznanie się ze wskazaną literaturą -  20 godzin
b) realizacja zadań projektowych w domu - 25 godzin
c) przygotowanie do egzaminu - 18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uczestnictwo w wykładach - 8 godzin
b) uczestnictwo w ćwiczeniach - 16 godzin,
c) udział w konsultacjach związanych z realizacją ćwiczeń - 11 godzin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 
a) uczestnictwo w ćwiczeniach - 16 godzin
b) udział w konsultacjach związanych z realizacją ćwiczeń - 11 godzin
c) realizacja zadań projektowych w domu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aktualizacji. Rejestr cen i wartości nieruchomości jako element informacji katastralnej. Powiązania katastru z księgami wieczystymi oraz systemem podatkowym.
ĆWICZENIA PROJ.: 
Analiza zgodności treści mapy ewidencyjnej wybranego obrębu z wymogami rozporządzenia Ministra Regionalnego i Budownictwa z dnia 29 marca 2001 w sprawie ewidencji gruntów i budynków. Badanie aktualności treści mapy ewidencyjnej w zakresie użytków gruntowych z wykorzystaniem innych źródeł informacji (ortofotomapa, mapa zasadnicza).Praktyczne korzystanie z istniejących systemów informatycznych w jakich prowadzony jest kataster (EWMAPA, EWOPIS i inne) – praca na zbiorach zawartych w komputerowych bazach danych, tworzenie wypisów i wyrysów z komputerowych baz danych katastralnych. Określanie pola powierzchni użytkowej lokalu, sporządzenie kartoteki lokalu, a także obliczenie udziału właściciela lokalu wyodrębnionego w nieruchomości wspólnej. Sporządzanie kartotek budynków.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(4) przyporządkowane są całemu przedmiotowi. Aby uzyskać ocenę łączną należy zaliczyć każdy składnik przedmiotu: wykłady i ćwiczenia laboratoryjne; Wagi ½ wykład; ½ ćwiczenia.
Ocena łączna określona na podstawie średniej arytmetycznej z zaliczenia wykładu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dwóch sprawdzianów. Możliwa poprawa tylko jednego ze sprawdzianów na ostatnim wykładzie w semestrze.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17 maja 1989r. Prawo geodezyjne i kartograficzne (Dz.U.2010.193.1287 z późn. zmianami).
2. Rozporządzenie Ministra Rozwoju Regionalnego i Budownictwa z dnia 29 marca 2001r. w sprawie ewidencji gruntów i budynków (Dz. U. z dnia 2 maja 2001r. z późn. zmianami).
3. Rozporządzenie Ministra Infrastruktury z dnia 12 kwietnia 2002r. w sprawie warunków technicznych, jakim powinny odpowiadać budynki i ich usytuowanie (Dz.U.2002.75.690).
4. Rozporządzenie Rady Ministrów z dnia 10 grudnia 2010r. w sprawie Klasyfikacji Środków Trwałych (KŚT) (Dz.U.2010.242.1622).
5. Rozporządzenie Rady Ministrów z dnia 30 grudnia 1999r. w sprawie Polskiej Klasyfikacji Obiektów Budowlanych (PKOB) (Dz.U.1999.112.1316).
6. Rozporządzenie Ministra Administracji i Cyfryzacji z dnia 9 stycznia 2012r. w sprawie ewidencji miejscowości, ulic i adresów (Dz.U.2012.125).
7. Ustawa z dnia 24 czerwca 1994 r. o własności lokali. (Dz.U.2000.80.903).
8. Ustawa z dnia 21 czerwca 2001 r. o ochronie praw lokatorów, mieszkaniowym zasobie gminy  i o zmianie Kodeksu cywilnego (Dz.U.2014.150).
9. Ustawa z dnia 23 kwietnia 1964r. Kodeks Cywilny (Dz.U.2014.121 z późn. zmianami).
10. Ustawa z dnia 6 lipca 1982r. o księgach wieczystych i hipotece (Dz.U.2013.707 z późn. zmianami).
11. Rozporządzenie Ministra Sprawiedliwości z dnia 21 listopada 2013r. w sprawie zakładania i prowadzenia ksiąg wieczystych w systemie informatycznym (Dz.U.2013.1411 z późn. zmianami).
12. 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13. Artykuły dotyczące tematyki katastru nieruchomości w czasopismach branżowych: Przegląd Geodezyjny, Geodeta i inne.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GP.NIK305_W1: </w:t>
      </w:r>
    </w:p>
    <w:p>
      <w:pPr/>
      <w:r>
        <w:rPr/>
        <w:t xml:space="preserve">ma wiedzę na temat podstawowych zasad funkcjonowania katastru w Polsce w ujęciu prawnym i technicznym,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GP.NIK305_U1: </w:t>
      </w:r>
    </w:p>
    <w:p>
      <w:pPr/>
      <w:r>
        <w:rPr/>
        <w:t xml:space="preserve">potrafi wskazać na sposób pozyskania niezbędnych danych do założenia i aktualizacji katastru nieruchomości oraz ocenić jakość danych katastralnych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GP.NIK305_U2: </w:t>
      </w:r>
    </w:p>
    <w:p>
      <w:pPr/>
      <w:r>
        <w:rPr/>
        <w:t xml:space="preserve">potrafi wykonać zadanie projektowe w wyznaczonym terminie, wskazanym w regulaminie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GP.NIK305_U3: </w:t>
      </w:r>
    </w:p>
    <w:p>
      <w:pPr/>
      <w:r>
        <w:rPr/>
        <w:t xml:space="preserve">potrafi przygotować krótkie sprawozdanie z wykonanego zadania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GP.NIK305_K1: </w:t>
      </w:r>
    </w:p>
    <w:p>
      <w:pPr/>
      <w:r>
        <w:rPr/>
        <w:t xml:space="preserve">ma świadomość ważności zadania jakim jest prowadzenie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2026-03-22T20:50:32+01:00</dcterms:created>
  <dcterms:modified xsi:type="dcterms:W3CDTF">2026-03-22T20:50:32+01:00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