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GP.SMK231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udział w wykładach - 30 godz., 
b) konsultacje: 5 godz.
2. Praca własna studenta – 23 godzin, w tym:
a) przygotowanie do zaliczenia i obecność na zaliczeniu - 13 godz. 
b) przygotowanie do zajęć, studiowanie literatury - 10 godz. 
Łączny nakład pracy studenta wynosi 58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udział w wykładach - 30 godz., 
b)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GP.SMK231_W1: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GP.SMK231_W4: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GP.SMK231_U1: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GP.SMK231_K1: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GP.SMK231_K3: </w:t>
      </w:r>
    </w:p>
    <w:p>
      <w:pPr/>
      <w:r>
        <w:rPr/>
        <w:t xml:space="preserve">Potrafi ocenić wpływ wielokierunkowych skutków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GP.SMK231_K4: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2024-05-04T08:07:05+02:00</dcterms:created>
  <dcterms:modified xsi:type="dcterms:W3CDTF">2024-05-04T08:07:05+02:00</dcterms:modified>
</cp:coreProperties>
</file>

<file path=docProps/custom.xml><?xml version="1.0" encoding="utf-8"?>
<Properties xmlns="http://schemas.openxmlformats.org/officeDocument/2006/custom-properties" xmlns:vt="http://schemas.openxmlformats.org/officeDocument/2006/docPropsVTypes"/>
</file>