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przestrzenna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18, w tym:
a)	wykład – 15 godz.
b)	obecność na zaliczeniu – 3 godz.
2. Praca własna studenta – 7 godzin, w tym:
a)	 7 godz. - przygotowywanie się studenta do zaliczenia.
Łączny nakład pracy studenta wynosi zatem 25 godz.,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 ECTS – liczba godzin kontaktowych 18, w tym:
a)	wykład – 15 godz.
b)	obecność na zaliczeniu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Unii Europejskiej i samorządzie terytorialnym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polityce  przestrzennej Unii Europejskiej oraz systemach planowania przestrzennego w wybranych krajach członkowskich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Gospodarka przestrzenna – podstawowe pojęcia
Samorząd terytorialny w wybranych krajach Unii Europejskiej: Francja, Wielka Brytania, Holandia, Niemcy, Czechy
Przestrzeń europejska - zróżnicowanie przestrzenne krajów UE
Planowanie przestrzenne wybranych krajach Unii Europejskiej: Francja, Wielka Brytania, Holandia, Niemcy, Czechy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A. Gorzym Wilkowski, Gospodarka przestrzenna samorządu terytorialnego, zarys, Wydawnictwo Uniwersytetu Marii Curie-Skłodowskiej, wyd. 1. Lublin 2006;
2. Samorząd terytorialny w Europie Zachodniej, red. L. Rajca, Dom Wydawniczy Elipsa, wyd.1, Warszawa 2010;
3. J. Wojnicki, Samorządy lokalne w Polsce i w Europie, Wydawnictwo Akademii Humanistycznej im. Aleksandra Gieysztora, wyd.1, Pułtusk 2008;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GP.SMK101_W1: </w:t>
      </w:r>
    </w:p>
    <w:p>
      <w:pPr/>
      <w:r>
        <w:rPr/>
        <w:t xml:space="preserve">Zna i rozumie działanie samorządów terytorialnych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GP.SMK101_W2: </w:t>
      </w:r>
    </w:p>
    <w:p>
      <w:pPr/>
      <w:r>
        <w:rPr/>
        <w:t xml:space="preserve">Zna i rozumie proces planowania przestrzennego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GP.SMK101_W3: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GP.SMK101_W4: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GP.SMK101_U1: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GP.SMK101_U2: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GP.SMK101_U3: </w:t>
      </w:r>
    </w:p>
    <w:p>
      <w:pPr/>
      <w:r>
        <w:rPr/>
        <w:t xml:space="preserve">Wie jak analizować różnorodne uwarunkowania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GP.SMK101_U4: </w:t>
      </w:r>
    </w:p>
    <w:p>
      <w:pPr/>
      <w:r>
        <w:rPr/>
        <w:t xml:space="preserve">Potrafi analizować wieloaspektowość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GP.SMK101_K1: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GP.SMK101_K2: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GP.SMK101_K3: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GP.SMK101_K4: </w:t>
      </w:r>
    </w:p>
    <w:p>
      <w:pPr/>
      <w:r>
        <w:rPr/>
        <w:t xml:space="preserve">Potrafi przewidywać różnorodne skutki 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2024-05-19T04:35:08+02:00</dcterms:created>
  <dcterms:modified xsi:type="dcterms:W3CDTF">2024-05-19T04:35:08+02:00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