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keepNext w:val="1"/>
        <w:spacing w:after="10"/>
      </w:pPr>
      <w:r>
        <w:rPr>
          <w:b/>
          <w:bCs/>
        </w:rPr>
        <w:t xml:space="preserve">Nazwa przedmiotu: </w:t>
      </w:r>
    </w:p>
    <w:p>
      <w:pPr>
        <w:spacing w:before="20" w:after="190"/>
      </w:pPr>
      <w:r>
        <w:rPr/>
        <w:t xml:space="preserve">Techniki legislacyjne w planowaniu</w:t>
      </w:r>
    </w:p>
    <w:p>
      <w:pPr>
        <w:keepNext w:val="1"/>
        <w:spacing w:after="10"/>
      </w:pPr>
      <w:r>
        <w:rPr>
          <w:b/>
          <w:bCs/>
        </w:rPr>
        <w:t xml:space="preserve">Koordynator przedmiotu: </w:t>
      </w:r>
    </w:p>
    <w:p>
      <w:pPr>
        <w:spacing w:before="20" w:after="190"/>
      </w:pPr>
      <w:r>
        <w:rPr/>
        <w:t xml:space="preserve">dr Paweł Sosnowski</w:t>
      </w:r>
    </w:p>
    <w:p>
      <w:pPr>
        <w:keepNext w:val="1"/>
        <w:spacing w:after="10"/>
      </w:pPr>
      <w:r>
        <w:rPr>
          <w:b/>
          <w:bCs/>
        </w:rPr>
        <w:t xml:space="preserve">Status przedmiotu: </w:t>
      </w:r>
    </w:p>
    <w:p>
      <w:pPr>
        <w:spacing w:before="20" w:after="190"/>
      </w:pPr>
      <w:r>
        <w:rPr/>
        <w:t xml:space="preserve">Obowiązkowy</w:t>
      </w:r>
    </w:p>
    <w:p>
      <w:pPr>
        <w:keepNext w:val="1"/>
        <w:spacing w:after="10"/>
      </w:pPr>
      <w:r>
        <w:rPr>
          <w:b/>
          <w:bCs/>
        </w:rPr>
        <w:t xml:space="preserve">Poziom kształcenia: </w:t>
      </w:r>
    </w:p>
    <w:p>
      <w:pPr>
        <w:spacing w:before="20" w:after="190"/>
      </w:pPr>
      <w:r>
        <w:rPr/>
        <w:t xml:space="preserve">Studia II stopnia</w:t>
      </w:r>
    </w:p>
    <w:p>
      <w:pPr>
        <w:keepNext w:val="1"/>
        <w:spacing w:after="10"/>
      </w:pPr>
      <w:r>
        <w:rPr>
          <w:b/>
          <w:bCs/>
        </w:rPr>
        <w:t xml:space="preserve">Program: </w:t>
      </w:r>
    </w:p>
    <w:p>
      <w:pPr>
        <w:spacing w:before="20" w:after="190"/>
      </w:pPr>
      <w:r>
        <w:rPr/>
        <w:t xml:space="preserve">Gospodarka Przestrzenna</w:t>
      </w:r>
    </w:p>
    <w:p>
      <w:pPr>
        <w:keepNext w:val="1"/>
        <w:spacing w:after="10"/>
      </w:pPr>
      <w:r>
        <w:rPr>
          <w:b/>
          <w:bCs/>
        </w:rPr>
        <w:t xml:space="preserve">Grupa przedmiotów: </w:t>
      </w:r>
    </w:p>
    <w:p>
      <w:pPr>
        <w:spacing w:before="20" w:after="190"/>
      </w:pPr>
      <w:r>
        <w:rPr/>
        <w:t xml:space="preserve">Obowiązkowe</w:t>
      </w:r>
    </w:p>
    <w:p>
      <w:pPr>
        <w:keepNext w:val="1"/>
        <w:spacing w:after="10"/>
      </w:pPr>
      <w:r>
        <w:rPr>
          <w:b/>
          <w:bCs/>
        </w:rPr>
        <w:t xml:space="preserve">Kod przedmiotu: </w:t>
      </w:r>
    </w:p>
    <w:p>
      <w:pPr>
        <w:spacing w:before="20" w:after="190"/>
      </w:pPr>
      <w:r>
        <w:rPr/>
        <w:t xml:space="preserve">GP.NMK206</w:t>
      </w:r>
    </w:p>
    <w:p>
      <w:pPr>
        <w:keepNext w:val="1"/>
        <w:spacing w:after="10"/>
      </w:pPr>
      <w:r>
        <w:rPr>
          <w:b/>
          <w:bCs/>
        </w:rPr>
        <w:t xml:space="preserve">Semestr nominalny: </w:t>
      </w:r>
    </w:p>
    <w:p>
      <w:pPr>
        <w:spacing w:before="20" w:after="190"/>
      </w:pPr>
      <w:r>
        <w:rPr/>
        <w:t xml:space="preserve">2 / rok ak. 2015/2016</w:t>
      </w:r>
    </w:p>
    <w:p>
      <w:pPr>
        <w:keepNext w:val="1"/>
        <w:spacing w:after="10"/>
      </w:pPr>
      <w:r>
        <w:rPr>
          <w:b/>
          <w:bCs/>
        </w:rPr>
        <w:t xml:space="preserve">Liczba punktów ECTS: </w:t>
      </w:r>
    </w:p>
    <w:p>
      <w:pPr>
        <w:spacing w:before="20" w:after="190"/>
      </w:pPr>
      <w:r>
        <w:rPr/>
        <w:t xml:space="preserve">2</w:t>
      </w:r>
    </w:p>
    <w:p>
      <w:pPr>
        <w:keepNext w:val="1"/>
        <w:spacing w:after="10"/>
      </w:pPr>
      <w:r>
        <w:rPr>
          <w:b/>
          <w:bCs/>
        </w:rPr>
        <w:t xml:space="preserve">Liczba godzin pracy studenta związanych z osiągnięciem efektów uczenia się: </w:t>
      </w:r>
    </w:p>
    <w:p>
      <w:pPr>
        <w:spacing w:before="20" w:after="190"/>
      </w:pPr>
      <w:r>
        <w:rPr/>
        <w:t xml:space="preserve">1) Liczba godzin kontaktowych - 24 godzin, w tym:
a) udział w wykładach - 16 godz.,
b) udział w konsultacjach - 8 godz.
2) Praca własna studenta - 26 godzin, w tym:
a) zapoznanie się z literaturą - 16 godz.
b) przygotowanie uchwały planu miejscowego -10 godz.
Łącznie nakład pracy studenta wynosi 50 godzin, co odpowiada 2 pkt. ECTS.</w:t>
      </w:r>
    </w:p>
    <w:p>
      <w:pPr>
        <w:keepNext w:val="1"/>
        <w:spacing w:after="10"/>
      </w:pPr>
      <w:r>
        <w:rPr>
          <w:b/>
          <w:bCs/>
        </w:rPr>
        <w:t xml:space="preserve">Liczba punktów ECTS na zajęciach wymagających bezpośredniego udziału nauczycieli akademickich: </w:t>
      </w:r>
    </w:p>
    <w:p>
      <w:pPr>
        <w:spacing w:before="20" w:after="190"/>
      </w:pPr>
      <w:r>
        <w:rPr/>
        <w:t xml:space="preserve">1 punkt ECTS - liczba godzin kontaktowych - 24 godzin, w tym:
a) udział w wykładach - 16 godz.,
b) udział w konsultacjach - 8 godz.</w:t>
      </w:r>
    </w:p>
    <w:p>
      <w:pPr>
        <w:keepNext w:val="1"/>
        <w:spacing w:after="10"/>
      </w:pPr>
      <w:r>
        <w:rPr>
          <w:b/>
          <w:bCs/>
        </w:rPr>
        <w:t xml:space="preserve">Język prowadzenia zajęć: </w:t>
      </w:r>
    </w:p>
    <w:p>
      <w:pPr>
        <w:spacing w:before="20" w:after="190"/>
      </w:pPr>
      <w:r>
        <w:rPr/>
        <w:t xml:space="preserve">polski</w:t>
      </w:r>
    </w:p>
    <w:p>
      <w:pPr>
        <w:keepNext w:val="1"/>
        <w:spacing w:after="10"/>
      </w:pPr>
      <w:r>
        <w:rPr>
          <w:b/>
          <w:bCs/>
        </w:rPr>
        <w:t xml:space="preserve">Liczba punktów ECTS, którą student uzyskuje w ramach zajęć o charakterze praktycznym: </w:t>
      </w:r>
    </w:p>
    <w:p>
      <w:pPr>
        <w:spacing w:before="20" w:after="190"/>
      </w:pPr>
      <w:r>
        <w:rPr/>
        <w:t xml:space="preserve">0,4 punktu ECTS - 10 godziny, w tym:
a) przygotowanie uchwały planu miejscowego -10 godz.</w:t>
      </w:r>
    </w:p>
    <w:p>
      <w:pPr>
        <w:keepNext w:val="1"/>
        <w:spacing w:after="10"/>
      </w:pPr>
      <w:r>
        <w:rPr>
          <w:b/>
          <w:bCs/>
        </w:rPr>
        <w:t xml:space="preserve">Formy zajęć i ich wymiar w semestrze: </w:t>
      </w:r>
    </w:p>
    <w:tbl>
      <w:tblGrid>
        <w:gridCol w:w="2200" w:type="dxa"/>
        <w:gridCol w:w="2200" w:type="dxa"/>
      </w:tblGrid>
      <w:tblPr>
        <w:tblW w:w="2500" w:type="auto"/>
        <w:tblBorders>
          <w:top w:val="single" w:sz="0" w:color="FFFFFF"/>
          <w:left w:val="single" w:sz="0" w:color="FFFFFF"/>
          <w:right w:val="single" w:sz="0" w:color="FFFFFF"/>
          <w:bottom w:val="single" w:sz="0" w:color="FFFFFF"/>
          <w:insideH w:val="single" w:sz="0" w:color="FFFFFF"/>
          <w:insideV w:val="single" w:sz="0" w:color="FFFFFF"/>
        </w:tblBorders>
      </w:tblPr>
      <w:tr>
        <w:trPr>
          <w:trHeight w:val="250" w:hRule="atLeast"/>
        </w:trPr>
        <w:tc>
          <w:tcPr>
            <w:tcW w:w="2200" w:type="dxa"/>
          </w:tcPr>
          <w:p>
            <w:pPr/>
            <w:r>
              <w:rPr/>
              <w:t xml:space="preserve">Wykład: </w:t>
            </w:r>
          </w:p>
        </w:tc>
        <w:tc>
          <w:tcPr>
            <w:tcW w:w="2200" w:type="dxa"/>
          </w:tcPr>
          <w:p>
            <w:pPr/>
            <w:r>
              <w:rPr/>
              <w:t xml:space="preserve">30h</w:t>
            </w:r>
          </w:p>
        </w:tc>
      </w:tr>
      <w:tr>
        <w:trPr>
          <w:trHeight w:val="250" w:hRule="atLeast"/>
        </w:trPr>
        <w:tc>
          <w:tcPr>
            <w:tcW w:w="2200" w:type="dxa"/>
          </w:tcPr>
          <w:p>
            <w:pPr/>
            <w:r>
              <w:rPr/>
              <w:t xml:space="preserve">Ćwiczenia: </w:t>
            </w:r>
          </w:p>
        </w:tc>
        <w:tc>
          <w:tcPr>
            <w:tcW w:w="2200" w:type="dxa"/>
          </w:tcPr>
          <w:p>
            <w:pPr/>
            <w:r>
              <w:rPr/>
              <w:t xml:space="preserve">0h</w:t>
            </w:r>
          </w:p>
        </w:tc>
      </w:tr>
      <w:tr>
        <w:trPr>
          <w:trHeight w:val="250" w:hRule="atLeast"/>
        </w:trPr>
        <w:tc>
          <w:tcPr>
            <w:tcW w:w="2200" w:type="dxa"/>
          </w:tcPr>
          <w:p>
            <w:pPr/>
            <w:r>
              <w:rPr/>
              <w:t xml:space="preserve">Laboratorium: </w:t>
            </w:r>
          </w:p>
        </w:tc>
        <w:tc>
          <w:tcPr>
            <w:tcW w:w="2200" w:type="dxa"/>
          </w:tcPr>
          <w:p>
            <w:pPr/>
            <w:r>
              <w:rPr/>
              <w:t xml:space="preserve">0h</w:t>
            </w:r>
          </w:p>
        </w:tc>
      </w:tr>
      <w:tr>
        <w:trPr>
          <w:trHeight w:val="250" w:hRule="atLeast"/>
        </w:trPr>
        <w:tc>
          <w:tcPr>
            <w:tcW w:w="2200" w:type="dxa"/>
          </w:tcPr>
          <w:p>
            <w:pPr/>
            <w:r>
              <w:rPr/>
              <w:t xml:space="preserve">Projekt: </w:t>
            </w:r>
          </w:p>
        </w:tc>
        <w:tc>
          <w:tcPr>
            <w:tcW w:w="2200" w:type="dxa"/>
          </w:tcPr>
          <w:p>
            <w:pPr/>
            <w:r>
              <w:rPr/>
              <w:t xml:space="preserve">0h</w:t>
            </w:r>
          </w:p>
        </w:tc>
      </w:tr>
      <w:tr>
        <w:trPr>
          <w:trHeight w:val="250" w:hRule="atLeast"/>
        </w:trPr>
        <w:tc>
          <w:tcPr>
            <w:tcW w:w="2200" w:type="dxa"/>
          </w:tcPr>
          <w:p>
            <w:pPr/>
            <w:r>
              <w:rPr/>
              <w:t xml:space="preserve">Lekcje komputerowe: </w:t>
            </w:r>
          </w:p>
        </w:tc>
        <w:tc>
          <w:tcPr>
            <w:tcW w:w="2200" w:type="dxa"/>
          </w:tcPr>
          <w:p>
            <w:pPr/>
            <w:r>
              <w:rPr/>
              <w:t xml:space="preserve">0h</w:t>
            </w:r>
          </w:p>
        </w:tc>
      </w:tr>
    </w:tbl>
    <w:p/>
    <w:p>
      <w:pPr>
        <w:keepNext w:val="1"/>
        <w:spacing w:after="10"/>
      </w:pPr>
      <w:r>
        <w:rPr>
          <w:b/>
          <w:bCs/>
        </w:rPr>
        <w:t xml:space="preserve">Wymagania wstępne: </w:t>
      </w:r>
    </w:p>
    <w:p>
      <w:pPr>
        <w:spacing w:before="20" w:after="190"/>
      </w:pPr>
      <w:r>
        <w:rPr/>
        <w:t xml:space="preserve">Brak wymagań wstępnych</w:t>
      </w:r>
    </w:p>
    <w:p>
      <w:pPr>
        <w:keepNext w:val="1"/>
        <w:spacing w:after="10"/>
      </w:pPr>
      <w:r>
        <w:rPr>
          <w:b/>
          <w:bCs/>
        </w:rPr>
        <w:t xml:space="preserve">Limit liczby studentów: </w:t>
      </w:r>
    </w:p>
    <w:p>
      <w:pPr>
        <w:spacing w:before="20" w:after="190"/>
      </w:pPr>
      <w:r>
        <w:rPr/>
        <w:t xml:space="preserve">30 – studentów na wykładzie</w:t>
      </w:r>
    </w:p>
    <w:p>
      <w:pPr>
        <w:keepNext w:val="1"/>
        <w:spacing w:after="10"/>
      </w:pPr>
      <w:r>
        <w:rPr>
          <w:b/>
          <w:bCs/>
        </w:rPr>
        <w:t xml:space="preserve">Cel przedmiotu: </w:t>
      </w:r>
    </w:p>
    <w:p>
      <w:pPr>
        <w:spacing w:before="20" w:after="190"/>
      </w:pPr>
      <w:r>
        <w:rPr/>
        <w:t xml:space="preserve">Celem zajęć jest zapoznanie studentów z obowiązującym w Polsce systemem stanowienia prawa oraz z zasadami redagowania aktów prawa miejscowego ze szczególnym uwzględnieniem miejscowego planu zagospodarowania przestrzennego oraz technikami zapisu ustaleń zawartych w planie miejscowym a także próba opracowania prawidłowego - pod względem legislacyjnym - projektu uchwały.
</w:t>
      </w:r>
    </w:p>
    <w:p>
      <w:pPr>
        <w:keepNext w:val="1"/>
        <w:spacing w:after="10"/>
      </w:pPr>
      <w:r>
        <w:rPr>
          <w:b/>
          <w:bCs/>
        </w:rPr>
        <w:t xml:space="preserve">Treści kształcenia: </w:t>
      </w:r>
    </w:p>
    <w:p>
      <w:pPr>
        <w:spacing w:before="20" w:after="190"/>
      </w:pPr>
      <w:r>
        <w:rPr/>
        <w:t xml:space="preserve">1)	Pojęcia podstawowe - prawo, norma prawna, rodzaje norm prawnych, stanowienie prawa, akt prawny, akt normatywny; 
2)	Konstytucyjny system źródeł prawa – źródła prawa powszechnie obowiązującego i źródła prawa wewnętrznego; 
3)	Pojęcie aktu prawa miejscowego;
4)	Miejscowy plan zagospodarowania przestrzennego jako akt prawa miejscowego;
5)	Proces prawotwórczy stanowienia aktów prawa miejscowego;
6)	Podstawowe zasady techniki prawodawczej oraz inne wymogi formalne jakie powinien spełniać akt prawa miejscowego;
7)	Typowe środki techniki prawodawczej – sposób określenia adresatów norm, tworzenie definicji i  słowniczków, możliwość   
        formułowania odesłań do innych aktów prawnych, odnośniki; 
8)	Budowa aktu prawa miejscowego; tytuł uchwały: nazwa aktu, numer aktu, nazwa organu wydającego, data aktu, określenie 
        przedmiotu uchwały, podstawa prawna – omówienie sposobu redakcji, przepisy jakie należy powołać w podstawie prawnej, układ 
        postanowień zawartych w akcie prawa miejscowego; 
9)	Oznaczenie przepisów i ich systematyzacja w akcie prawa miejscowego;
10)	Sposób redagowania przepisów aktu prawa miejscowego; 
11)	Załączniki do aktów prawa miejscowego;
12)	Zmiana bądź uchylenie aktu prawa miejscowego;
</w:t>
      </w:r>
    </w:p>
    <w:p>
      <w:pPr>
        <w:keepNext w:val="1"/>
        <w:spacing w:after="10"/>
      </w:pPr>
      <w:r>
        <w:rPr>
          <w:b/>
          <w:bCs/>
        </w:rPr>
        <w:t xml:space="preserve">Metody oceny: </w:t>
      </w:r>
    </w:p>
    <w:p>
      <w:pPr>
        <w:spacing w:before="20" w:after="190"/>
      </w:pPr>
      <w:r>
        <w:rPr/>
        <w:t xml:space="preserve">Przygotowanie lub poprawa aktu prawa miejscowego - uchwały w sprawie uchwalenia miejscowego planu zagospodarowania przestrzennego - Indywidualnie (co najmniej 6 stron) lub zespołowo (co najmniej 4 strony na każdą osobę w zespole). Ocenie podlega uchwała oraz wiedza i umiejętności studenta w zakresie zastosowania zasad techniki prawodawczej.</w:t>
      </w:r>
    </w:p>
    <w:p>
      <w:pPr>
        <w:keepNext w:val="1"/>
        <w:spacing w:after="10"/>
      </w:pPr>
      <w:r>
        <w:rPr>
          <w:b/>
          <w:bCs/>
        </w:rPr>
        <w:t xml:space="preserve">Egzamin: </w:t>
      </w:r>
    </w:p>
    <w:p>
      <w:pPr>
        <w:spacing w:before="20" w:after="190"/>
      </w:pPr>
      <w:r>
        <w:rPr/>
        <w:t xml:space="preserve">nie</w:t>
      </w:r>
    </w:p>
    <w:p>
      <w:pPr>
        <w:keepNext w:val="1"/>
        <w:spacing w:after="10"/>
      </w:pPr>
      <w:r>
        <w:rPr>
          <w:b/>
          <w:bCs/>
        </w:rPr>
        <w:t xml:space="preserve">Literatura: </w:t>
      </w:r>
    </w:p>
    <w:p>
      <w:pPr>
        <w:spacing w:before="20" w:after="190"/>
      </w:pPr>
      <w:r>
        <w:rPr/>
        <w:t xml:space="preserve">1)  Bałaban A., Dąbek D., Kędziora P., Malinowski A. (red.), Pawelec R., Piotrowski R. „Zarys metodyki pracy legislatora. Ustawy. Akty
     wykonawcze. Prawo miejscowe”, LexisNexis, Warszawa 2009; 
2)  Bąkowski T., Uziębło P., Wierczyński G., Zarys legislacji administracyjnej. Uwarunkowania i zasady prawotwórczej działalności 
     administracji publicznej, Wyd. Presscom, Wrocław 2010
3)  Bąkowski T., Bielski P., Kokoszczyński M., Stelina J., Warylewski J.(red.), Wierczyński G. „Zasady techniki prawodawczej. Komentarz
     do rozporządzenia”, Dom Wydawniczy ABC, Warszawa 2003;
4)  Błachut M., Gromski W.,  Kaczor J. „Technika prawodawcza” Wydawnictwo C.H.Beck, Warszawa 2008;
5)  Dąbek D., „Prawo miejscowe” Oficyna Wolters Kluwer 2007;
6)  Sosnowski P., Buczyński K., Dziedzic-Bukowska J., Jaworski J. "Ustawa o planowani i zagospodarowaniu przestrzennym. Komentarz
     praktyczny", LexisNexis 2014;
7)  Stahl M., Duniewska Z. (red.) „Legislacja administracyjna. Teoria, orzecznictwo, praktyka”, Wolters Kluwer 2012;
8)  Wierczyński G. „Redagowanie i ogłaszanie aktów normatywnych. Komentarz”, Wolters Kluwer Polska, Warszawa 2010;
9)  Wronkowska S., Zieliński M. „Komentarz do zasad techniki prawodawczej z dnia 20 czerwca 2002 r.”, Wydawnictwo Sejmowe, 
     Warszawa 2004;</w:t>
      </w:r>
    </w:p>
    <w:p>
      <w:pPr>
        <w:keepNext w:val="1"/>
        <w:spacing w:after="10"/>
      </w:pPr>
      <w:r>
        <w:rPr>
          <w:b/>
          <w:bCs/>
        </w:rPr>
        <w:t xml:space="preserve">Witryna www przedmiotu: </w:t>
      </w:r>
    </w:p>
    <w:p>
      <w:pPr>
        <w:spacing w:before="20" w:after="190"/>
      </w:pPr>
      <w:r>
        <w:rPr/>
        <w:t xml:space="preserve">-</w:t>
      </w:r>
    </w:p>
    <w:p>
      <w:pPr>
        <w:keepNext w:val="1"/>
        <w:spacing w:after="10"/>
      </w:pPr>
      <w:r>
        <w:rPr>
          <w:b/>
          <w:bCs/>
        </w:rPr>
        <w:t xml:space="preserve">Uwagi: </w:t>
      </w:r>
    </w:p>
    <w:p>
      <w:pPr>
        <w:spacing w:before="20" w:after="190"/>
      </w:pPr>
      <w:r>
        <w:rPr/>
        <w:t xml:space="preserve"/>
      </w:r>
    </w:p>
    <w:p>
      <w:pPr>
        <w:pStyle w:val="Heading2"/>
      </w:pPr>
      <w:bookmarkStart w:id="1" w:name="_Toc1"/>
      <w:r>
        <w:t>Efekty przedmiotowe</w:t>
      </w:r>
      <w:bookmarkEnd w:id="1"/>
    </w:p>
    <w:p>
      <w:pPr>
        <w:pStyle w:val="Heading3"/>
      </w:pPr>
      <w:bookmarkStart w:id="2" w:name="_Toc2"/>
      <w:r>
        <w:t>Profil ogólnoakademicki - wiedza</w:t>
      </w:r>
      <w:bookmarkEnd w:id="2"/>
    </w:p>
    <w:p>
      <w:pPr>
        <w:keepNext w:val="1"/>
        <w:spacing w:after="10"/>
      </w:pPr>
      <w:r>
        <w:rPr>
          <w:b/>
          <w:bCs/>
        </w:rPr>
        <w:t xml:space="preserve">Efekt GP.NMK206_W1: </w:t>
      </w:r>
    </w:p>
    <w:p>
      <w:pPr/>
      <w:r>
        <w:rPr/>
        <w:t xml:space="preserve">Ma wiedzę o normach i regułach prawnych organizujących struktury i instytucje społeczne i rządzących nimi prawidłowościach oraz o ich źródłach, naturze, zmianach i sposobach działania </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K_W06</w:t>
      </w:r>
    </w:p>
    <w:p>
      <w:pPr>
        <w:spacing w:before="20" w:after="190"/>
      </w:pPr>
      <w:r>
        <w:rPr>
          <w:b/>
          <w:bCs/>
        </w:rPr>
        <w:t xml:space="preserve">Powiązane efekty obszarowe: </w:t>
      </w:r>
      <w:r>
        <w:rPr/>
        <w:t xml:space="preserve">S2A_W07</w:t>
      </w:r>
    </w:p>
    <w:p>
      <w:pPr>
        <w:keepNext w:val="1"/>
        <w:spacing w:after="10"/>
      </w:pPr>
      <w:r>
        <w:rPr>
          <w:b/>
          <w:bCs/>
        </w:rPr>
        <w:t xml:space="preserve">Efekt GP.NMK206_W2: </w:t>
      </w:r>
    </w:p>
    <w:p>
      <w:pPr/>
      <w:r>
        <w:rPr/>
        <w:t xml:space="preserve">Ma wiedze o sposobach i instrumentach wykorzystania w planowaniu przestrzennym uwarunkowań społecznych, ekonomicznych, a w szczególności prawnych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K_W08</w:t>
      </w:r>
    </w:p>
    <w:p>
      <w:pPr>
        <w:spacing w:before="20" w:after="190"/>
      </w:pPr>
      <w:r>
        <w:rPr>
          <w:b/>
          <w:bCs/>
        </w:rPr>
        <w:t xml:space="preserve">Powiązane efekty obszarowe: </w:t>
      </w:r>
      <w:r>
        <w:rPr/>
        <w:t xml:space="preserve">T2A_W04, T2A_W08</w:t>
      </w:r>
    </w:p>
    <w:p>
      <w:pPr>
        <w:keepNext w:val="1"/>
        <w:spacing w:after="10"/>
      </w:pPr>
      <w:r>
        <w:rPr>
          <w:b/>
          <w:bCs/>
        </w:rPr>
        <w:t xml:space="preserve">Efekt GP.NMK206_W3: </w:t>
      </w:r>
    </w:p>
    <w:p>
      <w:pPr/>
      <w:r>
        <w:rPr/>
        <w:t xml:space="preserve">Ma wiedzę na temat uwarunkowań prawno-gospodarczych stanowienia prawa, w szczególności w zakresie planowania przestrzennego w krajach Unii Europejskiej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K_W09</w:t>
      </w:r>
    </w:p>
    <w:p>
      <w:pPr>
        <w:spacing w:before="20" w:after="190"/>
      </w:pPr>
      <w:r>
        <w:rPr>
          <w:b/>
          <w:bCs/>
        </w:rPr>
        <w:t xml:space="preserve">Powiązane efekty obszarowe: </w:t>
      </w:r>
      <w:r>
        <w:rPr/>
        <w:t xml:space="preserve">T2A_W10, T2A_W08</w:t>
      </w:r>
    </w:p>
    <w:p>
      <w:pPr>
        <w:pStyle w:val="Heading3"/>
      </w:pPr>
      <w:bookmarkStart w:id="3" w:name="_Toc3"/>
      <w:r>
        <w:t>Profil ogólnoakademicki - umiejętności</w:t>
      </w:r>
      <w:bookmarkEnd w:id="3"/>
    </w:p>
    <w:p>
      <w:pPr>
        <w:keepNext w:val="1"/>
        <w:spacing w:after="10"/>
      </w:pPr>
      <w:r>
        <w:rPr>
          <w:b/>
          <w:bCs/>
        </w:rPr>
        <w:t xml:space="preserve">Efekt GP.NMK206_U1: </w:t>
      </w:r>
    </w:p>
    <w:p>
      <w:pPr/>
      <w:r>
        <w:rPr/>
        <w:t xml:space="preserve">Prawidłowo posługuje się wybranymi normami i regułami prawnymi w celu rozwiązania konkretnego zadania z zakresu dziedzin nauki i dyscyplin naukowych właściwych dla studiowanego kierunku</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K_U01</w:t>
      </w:r>
    </w:p>
    <w:p>
      <w:pPr>
        <w:spacing w:before="20" w:after="190"/>
      </w:pPr>
      <w:r>
        <w:rPr>
          <w:b/>
          <w:bCs/>
        </w:rPr>
        <w:t xml:space="preserve">Powiązane efekty obszarowe: </w:t>
      </w:r>
      <w:r>
        <w:rPr/>
        <w:t xml:space="preserve">T2A_U01</w:t>
      </w:r>
    </w:p>
    <w:p>
      <w:pPr>
        <w:keepNext w:val="1"/>
        <w:spacing w:after="10"/>
      </w:pPr>
      <w:r>
        <w:rPr>
          <w:b/>
          <w:bCs/>
        </w:rPr>
        <w:t xml:space="preserve">Efekt GP.NMK206_U2: </w:t>
      </w:r>
    </w:p>
    <w:p>
      <w:pPr/>
      <w:r>
        <w:rPr/>
        <w:t xml:space="preserve">Wykorzystuje zdobyta wiedzę do rozstrzygania dylematów pojawiających się w pracy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K_U09</w:t>
      </w:r>
    </w:p>
    <w:p>
      <w:pPr>
        <w:spacing w:before="20" w:after="190"/>
      </w:pPr>
      <w:r>
        <w:rPr>
          <w:b/>
          <w:bCs/>
        </w:rPr>
        <w:t xml:space="preserve">Powiązane efekty obszarowe: </w:t>
      </w:r>
      <w:r>
        <w:rPr/>
        <w:t xml:space="preserve">S2A_U03</w:t>
      </w:r>
    </w:p>
    <w:p>
      <w:pPr>
        <w:pStyle w:val="Heading3"/>
      </w:pPr>
      <w:bookmarkStart w:id="4" w:name="_Toc4"/>
      <w:r>
        <w:t>Profil ogólnoakademicki - kompetencje społeczne</w:t>
      </w:r>
      <w:bookmarkEnd w:id="4"/>
    </w:p>
    <w:p>
      <w:pPr>
        <w:keepNext w:val="1"/>
        <w:spacing w:after="10"/>
      </w:pPr>
      <w:r>
        <w:rPr>
          <w:b/>
          <w:bCs/>
        </w:rPr>
        <w:t xml:space="preserve">Efekt GP.NMK206_K1: </w:t>
      </w:r>
    </w:p>
    <w:p>
      <w:pPr/>
      <w:r>
        <w:rPr/>
        <w:t xml:space="preserve">Wykazuje się inicjatywą, elastycznością i samodzielnością w podejmowaniu decyzji przy rozwiązywaniu problemów społecznych, ekonomicznych, prawnych oraz innych</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K_K02</w:t>
      </w:r>
    </w:p>
    <w:p>
      <w:pPr>
        <w:spacing w:before="20" w:after="190"/>
      </w:pPr>
      <w:r>
        <w:rPr>
          <w:b/>
          <w:bCs/>
        </w:rPr>
        <w:t xml:space="preserve">Powiązane efekty obszarowe: </w:t>
      </w:r>
      <w:r>
        <w:rPr/>
        <w:t xml:space="preserve">T2A_K03</w:t>
      </w:r>
    </w:p>
    <w:p>
      <w:pPr>
        <w:keepNext w:val="1"/>
        <w:spacing w:after="10"/>
      </w:pPr>
      <w:r>
        <w:rPr>
          <w:b/>
          <w:bCs/>
        </w:rPr>
        <w:t xml:space="preserve">Efekt GP.NMK206_K2: </w:t>
      </w:r>
    </w:p>
    <w:p>
      <w:pPr/>
      <w:r>
        <w:rPr/>
        <w:t xml:space="preserve">Jest świadomy odpowiedzialności zawodowej w pracy oraz rozumie zasady etyki zawodowej</w:t>
      </w:r>
    </w:p>
    <w:p>
      <w:pPr>
        <w:spacing w:before="60"/>
      </w:pPr>
      <w:r>
        <w:rPr/>
        <w:t xml:space="preserve">Weryfikacja: </w:t>
      </w:r>
    </w:p>
    <w:p>
      <w:pPr>
        <w:spacing w:before="20" w:after="190"/>
      </w:pPr>
      <w:r>
        <w:rPr/>
        <w:t xml:space="preserve">Zaliczenie w formie pisemnej - wykonanie pracy praktycznej</w:t>
      </w:r>
    </w:p>
    <w:p>
      <w:pPr>
        <w:spacing w:before="20" w:after="190"/>
      </w:pPr>
      <w:r>
        <w:rPr>
          <w:b/>
          <w:bCs/>
        </w:rPr>
        <w:t xml:space="preserve">Powiązane efekty kierunkowe: </w:t>
      </w:r>
      <w:r>
        <w:rPr/>
        <w:t xml:space="preserve">K_K03</w:t>
      </w:r>
    </w:p>
    <w:p>
      <w:pPr>
        <w:spacing w:before="20" w:after="190"/>
      </w:pPr>
      <w:r>
        <w:rPr>
          <w:b/>
          <w:bCs/>
        </w:rPr>
        <w:t xml:space="preserve">Powiązane efekty obszarowe: </w:t>
      </w:r>
      <w:r>
        <w:rPr/>
        <w:t xml:space="preserve">S2A_K05</w:t>
      </w:r>
    </w:p>
    <w:sectPr>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2">
    <w:link w:val="Heading2Char"/>
    <w:name w:val="heading 2"/>
    <w:basedOn w:val="Normal"/>
    <w:pPr>
      <w:spacing w:before="40" w:after="190"/>
    </w:pPr>
    <w:rPr>
      <w:sz w:val="34"/>
      <w:szCs w:val="34"/>
      <w:b/>
      <w:bCs/>
    </w:rPr>
  </w:style>
  <w:style w:type="paragraph" w:styleId="Heading3">
    <w:link w:val="Heading3Char"/>
    <w:name w:val="heading 3"/>
    <w:basedOn w:val="Normal"/>
    <w:pPr>
      <w:spacing w:before="40" w:after="190"/>
    </w:pPr>
    <w:rPr>
      <w:sz w:val="26"/>
      <w:szCs w:val="26"/>
      <w:b/>
      <w:bCs/>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2026-07-29T22:48:49+02:00</dcterms:created>
  <dcterms:modified xsi:type="dcterms:W3CDTF">2026-07-29T22:48:49+02:00</dcterms:modified>
</cp:coreProperties>
</file>

<file path=docProps/custom.xml><?xml version="1.0" encoding="utf-8"?>
<Properties xmlns="http://schemas.openxmlformats.org/officeDocument/2006/custom-properties" xmlns:vt="http://schemas.openxmlformats.org/officeDocument/2006/docPropsVTypes"/>
</file>