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w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konsultacjach: 10h; przygotowanie do zajęć i zaliczenia wykładu (praca własna z literaturą przedmiotu): 25h.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25h, w tym: wykłady - 15h, konsultacje - 10h, co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percepcji wzrokowej, uporządkowanie posiadanych wiadomości na temat zjawiska barwy w aspekcie fizycznym i percepcyjnym oraz poznanie funkcjonujących modeli barwy i metod kalibracji kolorystycznej urządzeń. Poznanie graficznych operacji rastrowych i przekształceń wektorowych oraz ogólnych zasad modelowania obiektów. Zapoznanie się z procesami skanowania, wektoryzacji i przetwarzania obrazów graficznych, w tym obróbki fotografii. Poznanie zasad przygotowania projektów graficznych do druku, tworzenia separacji barwnych i wykorzystania języka PostScript.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1. Działanie zmysłu wzroku i zasady widzenia
2. Percepcja wzrokowa, teorie percepcji i zasady Gestalt
3. Barwa, aspekt fizyczny i percepcyjny
4. Modele barw, kalibracja i profile kolorystyczne urządzeń
5. Graficzne operacje rastrowe
6. Pismo i podstawy typografii
7. Przekształcenia wektorowe 
8. Zasady modelowania obiektów
9. Metody modelowania oświetlenia
10. Skanowanie, wektoryzacja i przetwarzanie obrazów
11. Podstawy obróbki fotografii
12. Separacje barwne, język PostScript i przygotowanie do druku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 Ocena z pracy jest końcową oceną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Jankowski M., Elementy grafiki komputerowej, WNT 2006,
Zabrodzki J., Grafika komputerowa, metody i narzędzia, WNT 1994
Shirley P., Fundamentals of Computer Graphics, AK Peters 2005,
Foley J.D., van Dam A., Feiner S.K., Hughes J.F., Computer Graphics, Priciples and Practice, Addison-Wesley Publ. Co.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GK.SMS230_W01: </w:t>
      </w:r>
    </w:p>
    <w:p>
      <w:pPr/>
      <w:r>
        <w:rPr/>
        <w:t xml:space="preserve">Posiada wiedzę dotyczącą zasad modelowania obiektów, w tym budowli, przy użyciu metod i narzędzi grafiki komputerowej. Posada poszerzoną wiedzę na temat przetwarzania obrazów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GK.SMS230_W02: </w:t>
      </w:r>
    </w:p>
    <w:p>
      <w:pPr/>
      <w:r>
        <w:rPr/>
        <w:t xml:space="preserve">Zna zasady modelowania graficznego obiektów, w tym znaków kartograficznych, podstawy typografii i zasady opisu map nazwami i skrótami objaśniającymi. Zna podstawy przetwarzania obrazów, technologiczne aspekty skanowania i wektoryzacji. Potrafi zastosować te zasady w wizualizacji wyników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GK.SMS230_U01: </w:t>
      </w:r>
    </w:p>
    <w:p>
      <w:pPr/>
      <w:r>
        <w:rPr/>
        <w:t xml:space="preserve">W zakresie modelowania graficznego umie zastosować odpowiednie metody i technologie do przetwarzania danych i efektywnej wizualizacji wyników analiz przestrzennych i baz danych geograficznych.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GK.SMS230_U02: </w:t>
      </w:r>
    </w:p>
    <w:p>
      <w:pPr/>
      <w:r>
        <w:rPr/>
        <w:t xml:space="preserve">Posługuje się modelami barwy, znając zasady ich stosowania, zna zasady modelowania oświetlenia obiektów, organizacji scen graficznych, przetwarzania obrazów, w tym obrazów 3D, z zastosowaniem rastrowych i wektorowych przekształceń.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GK.SMS230_U03: </w:t>
      </w:r>
    </w:p>
    <w:p>
      <w:pPr/>
      <w:r>
        <w:rPr/>
        <w:t xml:space="preserve">Umie integrować informacje z literatury i innych źródeł i wykorzystywać je w odpowiedni sposób, dokonywać ich interpretacji, a także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GK.SMS230_K01: </w:t>
      </w:r>
    </w:p>
    <w:p>
      <w:pPr/>
      <w:r>
        <w:rPr/>
        <w:t xml:space="preserve">Zna zasady formowania przekazu graficznego i rozumie konsekwencje stosowania przekazu kartograficznego i skutki jego oddziaływania zarówno na społeczeństwo jak i środowisko naturalne.
Współpracuje w grupie nad rozwiązywaniem postawionych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2024-05-04T11:00:46+02:00</dcterms:created>
  <dcterms:modified xsi:type="dcterms:W3CDTF">2024-05-04T11:00:46+02:00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