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wykładach - 30 godz., 
b) egzamin pisemny - 2 godz.
2) Liczba godzin pracy własnej studenta - 43 w tym: 
a) bieżące przygotowanie do uczestnictwa w wykładach - 15 godz.,
b) studia nad literaturą przedmiotu - 15 godz., 
c) zapoznanie się z literaturą prawniczą w tym z aktami prawnymi - 3 godz., 
d) przygotowanie do egzaminu - 10 godz.
Razem 75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- 35 godz., w tym: 
a) Prowadzenie wykładu - 30 godz.
b) Egzamin pisemny - 2 godz.
c) Konsultacje (poza wykładem) - 3 godz.
Razem 35 godz. ↔ 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Zalecana umiejętność korzystania z baz aktów prawnych.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ze szczególnym uwzględnieniem ich funkcjonowania w podmiotach administracji publicznej.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8. Ustawa o informatyzacji,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ePUAP, Geoportal, EZD, PUE – systemy teleinformatyczne w administracji publicznej. Podstawowe usługi: profil zaufany, ESP, CRWD, interoperacyjność, przekazywanie tożsamości, informatyzacja procesów w podmiotach administracji publicznej.
11. Technologia podpisu elektronicznego. Ustawa o podpisie elektronicznym oraz aspekty techniczne. Szyfrowanie danych. Bezpieczeństwo. 
12. Cloud computing- przetwarzanie w chmurze
13. Zagrożenia bezpieczeństwa danych w systemach teleinformatycznych. Rodzaje zagrożeń. Podatność sieci telekomunikacyjnych na zagrożenia. Kradzież tożsamości i danych.
14. System zarządzania bezpieczeństwem informacji. Normy dot. bezpieczeństwa informacji.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Cz. Martysz, G. Szpor, K. Wojsyk — Ustawa o informatyzacji działalności podmiotów realizujących zadania publiczne. Komentarz., Warszawa, 2015, Wolters Kluwer 
3. M. Ganczar Informatyzacja administracji publicznej, Warszawa CeDeWu Sp. z o.o. 2009
4. W. Dąbrowski, P. Kowalczuk podpis elektroniczny, Warszawa Mikom 2003
5. Instrukcje dla oprogramowania systemu EPUAP, GEOPORTAL, EZD.
6. R. Podpłonski, P. Popis — Podpis elektroniczy. Komentarz, Warszawa, 2004, Difin
7. ABC zasad bezpieczeństwa przetwarzania danych osobowych przy użyciu systemów informatycznych – www.giodo.gov.pl
8. Ustawa o ochronie danych osobowych (Dz. U. 2015. poz. 2135 z późn. zm.)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podatności i zagrożenia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tematykę ochrony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Potrafi określić czynniki rozwoju społeczeństwa informacyjnego</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Umie określić i scharakteryzować wymagania podczas projektowania baz danych.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Potrafi wyjaśnić zasady identyfikacji i uwierzytelniania w usługach elektronicznych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W_07: </w:t>
      </w:r>
    </w:p>
    <w:p>
      <w:pPr/>
      <w:r>
        <w:rPr/>
        <w:t xml:space="preserve">Potrafi wskazać usługi elektroniczne świadczone przez administrację publiczną</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W_08: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U_04: </w:t>
      </w:r>
    </w:p>
    <w:p>
      <w:pPr/>
      <w:r>
        <w:rPr/>
        <w:t xml:space="preserve">Umie przygotować wytyczne i założenia w procesie projektowania baz danych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U_05: </w:t>
      </w:r>
    </w:p>
    <w:p>
      <w:pPr/>
      <w:r>
        <w:rPr/>
        <w:t xml:space="preserve">Umie sprecyzować wytyczne do opracowania dokumentacji dot. ochrony danych osobowych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S1A_U02, S1A_U03, S1A_U06, S1A_U08, S1A_U06, S1A_U08, S1A_U09, S1A_U10</w:t>
      </w:r>
    </w:p>
    <w:p>
      <w:pPr>
        <w:keepNext w:val="1"/>
        <w:spacing w:after="10"/>
      </w:pPr>
      <w:r>
        <w:rPr>
          <w:b/>
          <w:bCs/>
        </w:rPr>
        <w:t xml:space="preserve">Efekt U_06: </w:t>
      </w:r>
    </w:p>
    <w:p>
      <w:pPr/>
      <w:r>
        <w:rPr/>
        <w:t xml:space="preserve">Potrafi aktywnie uczestniczyć w dyskusjach w języku polskim na temat problematyki rozwoju e-administracji i bezpieczeństwa informacji w administracji publicznej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U_07: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S1A_U01, S1A_U02, S1A_U03, S1A_U05, S1A_U06, S1A_U07, S1A_U08, S1A_U09, S1A_U10,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K_03: </w:t>
      </w:r>
    </w:p>
    <w:p>
      <w:pPr/>
      <w:r>
        <w:rPr/>
        <w:t xml:space="preserve">Rozumie potrzebę wprowadzenia i stosowania uporządkowanych procedur w procesie zarządzania procesem informatyzacji oraz bezpieczeństwem informacji.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S1A_K01, S1A_K02, S1A_K04, S1A_K06, 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2024-05-03T09:25:58+02:00</dcterms:created>
  <dcterms:modified xsi:type="dcterms:W3CDTF">2024-05-03T09:25:58+02:00</dcterms:modified>
</cp:coreProperties>
</file>

<file path=docProps/custom.xml><?xml version="1.0" encoding="utf-8"?>
<Properties xmlns="http://schemas.openxmlformats.org/officeDocument/2006/custom-properties" xmlns:vt="http://schemas.openxmlformats.org/officeDocument/2006/docPropsVTypes"/>
</file>