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dr arch. Krzysztof Koszewski, arch. Paweł Przybyłowicz, arch. Robert Rzadkiewicz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 </w:t>
      </w:r>
    </w:p>
    <w:p>
      <w:pPr>
        <w:keepNext w:val="1"/>
        <w:spacing w:after="10"/>
      </w:pPr>
      <w:r>
        <w:rPr>
          <w:b/>
          <w:bCs/>
        </w:rPr>
        <w:t xml:space="preserve">Treści kształcenia: </w:t>
      </w:r>
    </w:p>
    <w:p>
      <w:pPr>
        <w:spacing w:before="20" w:after="190"/>
      </w:pPr>
      <w:r>
        <w:rPr/>
        <w:t xml:space="preserve">Przedmiot stanowi bazę do zdobycia praktycznej umiejętności prezentacji własnych idei projektowych, jak i odczytania komunikatow graficznych specyficznych dla architektury.
Wykłady zawierają kompendium podstawowej wiedzy w zakresie tworzenia i interpretacji przekazu graficznego, zarówno na poziomie semantycznym, jak i syntaktycznym oraz pragmatycznym. Stanowią one podstawę teoretyczną, sytuującą przekaz w warsztacie architekta w szerszym kontekście percepcji i interpretacji komunikatow graficznych, zarówno w aspekcie kulturowym, jak i psychofizjologicznym oraz warsztatowym. W rakcie wykładow przekazywana jest w jednym miejscu, w sposób usystematyzowany, wiedza pozwalająca sprawnie i świadomie wykorzystywać poznawane narzędzia komunikacji z naciskiem na łączenie dostępnych (klasycznych i nowoczesnych) środków i technik przekazu.
Część laboratoryjna przedmiotu koncentruje się wokół wykształcenia umiejętności samodzielnego przygotowania komunikatu, począwszy od przełożenia abstrakcyjnej sfery znaczeniowej na wizualny lub przestrzenny konkret przy zachowaniu odpowiedniej dyscypliny myślowej, po zastosowanie prostych kodów wizualnych właściwych dla języka architektury. Studenci zapoznawani są także z możliwościami dostępnych narzędzi cyfrowych.
</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na ostatnim wykładzie
Ocena prac wykonywanych sukcesywnie po każdych zajęciach laboratoryjnych
Końcowa prezentacja prac na forum grupy studenckiej
Wzajemna anonimowa ocena prac przez studentów (przy wsparciu platformy e-learningowej), wspomagana wyznaczonymi kryteriami oraz oceną przez prowadzącego zajęcia laboratoryjne.
Pisemny sprawdzian zaliczeniowy na ostatnim wykładzie
Końcowa prezentacja prac na forum grupy studenckiej
Wzajemna anonimowa ocena prac przez studentów (przy wsparciu platformy e-learningowej), wspomagana wyznaczonymi kryteriami oraz oceną przez prowadzącego zajęcia laboratoryjne.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2024-05-18T14:08:24+02:00</dcterms:created>
  <dcterms:modified xsi:type="dcterms:W3CDTF">2024-05-18T14:08:24+02:00</dcterms:modified>
</cp:coreProperties>
</file>

<file path=docProps/custom.xml><?xml version="1.0" encoding="utf-8"?>
<Properties xmlns="http://schemas.openxmlformats.org/officeDocument/2006/custom-properties" xmlns:vt="http://schemas.openxmlformats.org/officeDocument/2006/docPropsVTypes"/>
</file>