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
•	wykład: 30 godz.
•	laboratorium: 15 godz.
•	egzamin – 2 godz.
•	konsultacje: 5 godz.
2)	Praca własna studenta–  47 godz., w tym:
•	przygotowanie do egzaminu: 10 godz.
•	przygotowanie do ćwiczeń labor: 12 godz.
•	opracowanie sprawozdań z ćwiczeń laboratoryjnych – 15 godz.
•	przygotowanie do wykładu: 10 godz.
 Razem 99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
 w tym:
•	wykład: 30 godz.
•	laboratorium: 15 godz.
•	egzamin – 2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
•	laboratorium: 15 godz.
•	konsultacje: 5 godz.
•	przygotowanie do ćwiczeń labor: 12 godz.
•	opracowanie sprawozdań z ćwiczeń laboratoryjnych: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
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 laboratorium.
Student na ocenę pozytywną musi zaliczyć i egzamin i laboratorium. Ocena z laboratorium jest średnią arytmetyczną ze wszystkich ćwiczeń. Niezaliczenie dwóch ćwiczeń powoduje niezaliczenie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
2 C-N. Chen, D. I. Hoult, Biomedical Magnetic Resonance Technology, Adam Hilger, 1989.
3 M. Krzemińska- Pakuła, Metody obrazowe w diagnostyce układu krążenia, PZWL, 1991.
4 T. D. Cradduck, Digital Networks and Communications in NuclearMedicine, The Michener Institute, Toronto, Canada,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POM_W01: </w:t>
      </w:r>
    </w:p>
    <w:p>
      <w:pPr/>
      <w:r>
        <w:rPr/>
        <w:t xml:space="preserve">Ma szczegółową wiedzę w zakresie tworzenia obrazów: w tomografii rentgenowskiej, magnetycznego rezonansu jądrowego, pozytonowej i pojedynczego fotonu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T1A_W08</w:t>
      </w:r>
    </w:p>
    <w:p>
      <w:pPr>
        <w:keepNext w:val="1"/>
        <w:spacing w:after="10"/>
      </w:pPr>
      <w:r>
        <w:rPr>
          <w:b/>
          <w:bCs/>
        </w:rPr>
        <w:t xml:space="preserve">Efekt POM _W02: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POM _W03: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POM_U01: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_U4: </w:t>
      </w:r>
    </w:p>
    <w:p>
      <w:pPr/>
      <w:r>
        <w:rPr/>
        <w:t xml:space="preserve">Potrafi otrzymywać obrazy NMR z różnymi sekwencjami pomiarowymi.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2024-05-01T22:18:23+02:00</dcterms:created>
  <dcterms:modified xsi:type="dcterms:W3CDTF">2024-05-01T22:18:23+02:00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