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13h,
b) Laboratorium: 12h, 
c) Konsultacje: 2h,
2) Liczba godzin pracy własnej studenta (50h): 
a) Przygotowanie do zajęć laboratoryjnych: 15h,  
b) Opracowanie sprawozdań: 15h, 
c) Przygotowanie do egzaminu: 20h.
Razem 77h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13h,
b) Laboratorium: 12h, 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- 42h w tym:
a) Laboratorium: 12h, 
b) Przygotowanie do zajęć laboratoryjnych: 15h,  
c) Opracowanie sprawozdań: 15h,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
2. E.Ratajczyk: „Współrzędnościowa technika pomiarowa”. Oficyna Wydawnicza Politechniki Warszawskiej. Warszawa,2005. 
3. J.Arendarski, J.Gliwa-Gliwiński, Z.Jabłoński, E.Ratajczyk, J.Tomasik, S.Żebrowska-Łucyk: „Sprawdzanie przyrządów do pomiaru długości i kąta”. Oficyna Wydawnicza Politechniki Warszawskiej. Warszawa, 2003. 
4. J.Arendarski: „Niepewność pomiarów”. Oficyna Wydawnicza Politechniki Warszawskiej. Warszawa, 2003. 
5. M.Wieczorowski, A.Cellary, J.Chajda: Przewodnik po pomiarach nierówności powierzchni czyli o chropowatości i nie tylko”. Wyd. Zakład Metrologii i Systemów Pomiarowych. Politechnika Poznańska. Poznań, 2003. 
6. S. Adamczak: „Pomiary geometryczne powierzchni”. WN-T,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MTCz_Inst_W01: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MTCz_Inst_W02: </w:t>
      </w:r>
    </w:p>
    <w:p>
      <w:pPr/>
      <w:r>
        <w:rPr/>
        <w:t xml:space="preserve">Znajomość budowy przetworników pomiarowych wielkości geometrycznych stosowanych w urządzeniach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MTCz_Inst_U01: </w:t>
      </w:r>
    </w:p>
    <w:p>
      <w:pPr/>
      <w:r>
        <w:rPr/>
        <w:t xml:space="preserve">Opanowanie procedur i technik w zakresie realizacji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</w:t>
      </w:r>
    </w:p>
    <w:p>
      <w:pPr>
        <w:keepNext w:val="1"/>
        <w:spacing w:after="10"/>
      </w:pPr>
      <w:r>
        <w:rPr>
          <w:b/>
          <w:bCs/>
        </w:rPr>
        <w:t xml:space="preserve">Efekt MTCz_Inst_U02: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MTCz_Inst_K01: </w:t>
      </w:r>
    </w:p>
    <w:p>
      <w:pPr/>
      <w:r>
        <w:rPr/>
        <w:t xml:space="preserve">Potrafi współpracować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2024-05-05T22:39:54+02:00</dcterms:created>
  <dcterms:modified xsi:type="dcterms:W3CDTF">2024-05-05T22:39:54+02:00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