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40 h; w tym
	a) przygotowanie do laboratoriów i kolokwiów – 20 h
	b) zapoznanie się z literaturą – 5 h
	c) przygotowanie projektu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i kolokwiów – 20 h
3. przygotowanie projektu – 15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wybranego solvera programowania liniowego. 
2.	Standardowe  modele optymalizacji liniowej i całkowitoliczbowej (zagadnienie dystrybucji, planowania produkcji)
3.	Modelowanie zależności stochastycznej.
4.	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G. Świątek: Dynamika modeli matematycznych (materiały pomocnicze), link ze strony wykładowcy lub strony Wydz. MiNI
2.	J. Koronacki, J. Mielniczuk, Statystyka dla studentów kierunków technicznych i przyrodniczych, WNT 2001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Zna metody analizy, algebry i probabilistyki służące do modelowania zjawisk z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keepNext w:val="1"/>
        <w:spacing w:after="10"/>
      </w:pPr>
      <w:r>
        <w:rPr>
          <w:b/>
          <w:bCs/>
        </w:rPr>
        <w:t xml:space="preserve">Efekt MM_W02: </w:t>
      </w:r>
    </w:p>
    <w:p>
      <w:pPr/>
      <w:r>
        <w:rPr/>
        <w:t xml:space="preserve">Zna klasyczne modele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keepNext w:val="1"/>
        <w:spacing w:after="10"/>
      </w:pPr>
      <w:r>
        <w:rPr>
          <w:b/>
          <w:bCs/>
        </w:rPr>
        <w:t xml:space="preserve">Efekt MM_W03: </w:t>
      </w:r>
    </w:p>
    <w:p>
      <w:pPr/>
      <w:r>
        <w:rPr/>
        <w:t xml:space="preserve">Ma znajomość metod modelowania zależności dla odpowiedzi ilościowej i 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ML_U14,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Umie opisać proste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Umie dopasować 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MM_K01: </w:t>
      </w:r>
    </w:p>
    <w:p>
      <w:pPr/>
      <w:r>
        <w:rPr/>
        <w:t xml:space="preserve">Rozumie potrzebę modelowania zjawisk empirycznych i wagę 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2026-06-18T00:27:00+02:00</dcterms:created>
  <dcterms:modified xsi:type="dcterms:W3CDTF">2026-06-18T00:27:00+02:00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