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Hydraulika, Wodociągi i Kanalizacje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przedmiotu (streszczenie):
Poznanie zasad funkcjonowania i podstaw projektowania sieci wodociągowych i kanalizacyjnych wraz z uzbrojeniem i obiektami sieciowymi.
</w:t>
      </w:r>
    </w:p>
    <w:p>
      <w:pPr>
        <w:keepNext w:val="1"/>
        <w:spacing w:after="10"/>
      </w:pPr>
      <w:r>
        <w:rPr>
          <w:b/>
          <w:bCs/>
        </w:rPr>
        <w:t xml:space="preserve">Treści kształcenia: </w:t>
      </w:r>
    </w:p>
    <w:p>
      <w:pPr>
        <w:spacing w:before="20" w:after="190"/>
      </w:pPr>
      <w:r>
        <w:rPr/>
        <w:t xml:space="preserve">Program wykładu
Bloki tematyczne (treści):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Kształtowanie przestrzenne sieci bytowo-gospodarczej. Połączenia i rozgałęzienia kanałów. Podział zlewni.
Rozwiązania wysokościowe z obliczeniami hydraulicznymi sieci kanalizacji bytowo-gospodarczej.
Charakterystyka opadów. Obliczanie natężeń opadów i przepływów w sieci. Kształtowanie przestrzenne sieci.
Rozwiązanie wysokościowe z obliczeniami hydraulicznym kanalizacji deszczowej.
Program ćwiczeń projektowych
Bloki tematyczne (treści):
Projekt sieci wodociągowej pierścieniowej – P1
Projekt ujęcia wód podziemnych – P2
Skrócony projekt kanalizacji bytowo-gospodarczej dla jednostki osadniczej – P3
Skrócony projekt kanalizacji deszczowej dla jednostki osadniczej –P4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+ 0,25 x P3 + 0,25 x P4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2024-05-17T08:21:39+02:00</dcterms:created>
  <dcterms:modified xsi:type="dcterms:W3CDTF">2024-05-17T08:21:39+02:00</dcterms:modified>
</cp:coreProperties>
</file>

<file path=docProps/custom.xml><?xml version="1.0" encoding="utf-8"?>
<Properties xmlns="http://schemas.openxmlformats.org/officeDocument/2006/custom-properties" xmlns:vt="http://schemas.openxmlformats.org/officeDocument/2006/docPropsVTypes"/>
</file>