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
obecność na wykładach – 30 h
obecność na laboratoriach – 30 h
przygotowanie do laboratoriów – 30 h
zapoznanie się z literaturą – 10 h
konsultacje – 5 h
przygotowanie do egzaminu i obecność na egzaminie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30 h
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SFU_U01: </w:t>
      </w:r>
    </w:p>
    <w:p>
      <w:pPr/>
      <w:r>
        <w:rPr/>
        <w:t xml:space="preserve">Potrafi przeprowadzić analizę regresyjnych zależności liniowych i analizę adekwatności postulowanego modelu.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</w:t>
      </w:r>
    </w:p>
    <w:p>
      <w:pPr>
        <w:keepNext w:val="1"/>
        <w:spacing w:after="10"/>
      </w:pPr>
      <w:r>
        <w:rPr>
          <w:b/>
          <w:bCs/>
        </w:rPr>
        <w:t xml:space="preserve">Efekt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SFU_S01: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2026-03-24T05:27:44+01:00</dcterms:created>
  <dcterms:modified xsi:type="dcterms:W3CDTF">2026-03-24T05:27:44+01:00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