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wykładu oraz 30 godzin na samodzielne pogłębienie przez studenta treści wykładu i przygotowanie się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2ECTS (30 godzin wykład  oraz zaliczenie, 20 godzin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EW2: </w:t>
      </w:r>
    </w:p>
    <w:p>
      <w:pPr/>
      <w:r>
        <w:rPr/>
        <w:t xml:space="preserve">zna zależność pomiedzy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EW3: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EU2: </w:t>
      </w:r>
    </w:p>
    <w:p>
      <w:pPr/>
      <w:r>
        <w:rPr/>
        <w:t xml:space="preserve">umie korzystać z baz materiałów i metodyki doboru materiałów</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EU3: </w:t>
      </w:r>
    </w:p>
    <w:p>
      <w:pPr/>
      <w:r>
        <w:rPr/>
        <w:t xml:space="preserve">umie dla danej grupy materiałow dobrać obróbke cieplną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2026-02-10T01:43:35+01:00</dcterms:created>
  <dcterms:modified xsi:type="dcterms:W3CDTF">2026-02-10T01:43:35+01:00</dcterms:modified>
</cp:coreProperties>
</file>

<file path=docProps/custom.xml><?xml version="1.0" encoding="utf-8"?>
<Properties xmlns="http://schemas.openxmlformats.org/officeDocument/2006/custom-properties" xmlns:vt="http://schemas.openxmlformats.org/officeDocument/2006/docPropsVTypes"/>
</file>