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godz., w tym:
•	wykład - 15 godz.
•	laboratorium - 15 godz.
•	konsultacje  - 2 godz.
2) Praca własna studenta – 25 godz., w tym:
•	przygotowanie do zajęć laboratoryjnych - 15 godz.
•	studia literaturowe - 5 godz.
•	przygotowanie do zaliczeń - 5 godz.
Razem: 57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32 godz., w tym: 
•	wykład - 15 godz.
•	laboratorium - 15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punkta ECTS – 15 godz., w tym:
•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
</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DPP_K01: </w:t>
      </w:r>
    </w:p>
    <w:p>
      <w:pPr/>
      <w:r>
        <w:rPr/>
        <w:t xml:space="preserve">Rozumie potrzebę podnoszenia kompetencji zawodowych– w odniesieniu do samego siebie i innych osób</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2026-07-29T19:04:41+02:00</dcterms:created>
  <dcterms:modified xsi:type="dcterms:W3CDTF">2026-07-29T19:04:41+02:00</dcterms:modified>
</cp:coreProperties>
</file>

<file path=docProps/custom.xml><?xml version="1.0" encoding="utf-8"?>
<Properties xmlns="http://schemas.openxmlformats.org/officeDocument/2006/custom-properties" xmlns:vt="http://schemas.openxmlformats.org/officeDocument/2006/docPropsVTypes"/>
</file>