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NK368_W1: </w:t>
      </w:r>
    </w:p>
    <w:p>
      <w:pPr/>
      <w:r>
        <w:rPr/>
        <w:t xml:space="preserve">							Zna zasady doboru materiałów konstrukcyjnych w procesie projektowania maszyn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NK368_U2: </w:t>
      </w:r>
    </w:p>
    <w:p>
      <w:pPr/>
      <w:r>
        <w:rPr/>
        <w:t xml:space="preserve">							Potrafi sporządzić model uproszczony urządzenia pozwalający na przeprowadzenie poprawnej analizy w zakresie kinematyki i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NK368_U7: </w:t>
      </w:r>
    </w:p>
    <w:p>
      <w:pPr/>
      <w:r>
        <w:rPr/>
        <w:t xml:space="preserve">							Potrafi zaprojektować urządzenie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2026-08-20T11:23:14+02:00</dcterms:created>
  <dcterms:modified xsi:type="dcterms:W3CDTF">2026-08-20T11:23:14+02:00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