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w:t>
      </w:r>
    </w:p>
    <w:p>
      <w:pPr>
        <w:keepNext w:val="1"/>
        <w:spacing w:after="10"/>
      </w:pPr>
      <w:r>
        <w:rPr>
          <w:b/>
          <w:bCs/>
        </w:rPr>
        <w:t xml:space="preserve">Koordynator przedmiotu: </w:t>
      </w:r>
    </w:p>
    <w:p>
      <w:pPr>
        <w:spacing w:before="20" w:after="190"/>
      </w:pPr>
      <w:r>
        <w:rPr/>
        <w:t xml:space="preserve">Osoby wykładające: Dr Monika Załęska-Radziwiłł; Osoby prowadzące ćwiczenia laboratoryjne: Dr Monika Załęska-Radziwiłł, Dr inż. Adam Muszyński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Biologia i ekologia, Biochemia, Chemia organiczna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przygotowanie studentów do ekotoksykologicznej oceny ryzyka w środowisku poprzez zapoznanie z:- mechanizmami działania ksenobiotyków na organizmy, - najnowszymi metodami i kierunkami badawczymi ,- deterministycznymi i probabilistycznymi metodami oceny zagrożenia i ryzyka </w:t>
      </w:r>
    </w:p>
    <w:p>
      <w:pPr>
        <w:keepNext w:val="1"/>
        <w:spacing w:after="10"/>
      </w:pPr>
      <w:r>
        <w:rPr>
          <w:b/>
          <w:bCs/>
        </w:rPr>
        <w:t xml:space="preserve">Treści kształcenia: </w:t>
      </w:r>
    </w:p>
    <w:p>
      <w:pPr>
        <w:spacing w:before="20" w:after="190"/>
      </w:pPr>
      <w:r>
        <w:rPr/>
        <w:t xml:space="preserve">Program wykładu: Ekotoksykologia jako nauka obejmująca badanie szkodliwych skutków działania związków chemicznych dla ekosystemów pozwalająca objąć zmiany w organizmach i wynikające stąd konsekwencje na poziomie populacji i wyższym. Pojęcie trucizny, definicja ksenobiotyku. Pojęcie dawki toksycznej, śmiertelnej, stężeń śmiertelnych i efektywnych. Rodzaje zatruć. Zewnątrzustrojowe i wewnątrzustrojowe czynniki wpływające na toksyczność Losy trucizn w organizmie – wchłanianie, transport przez błony, dystrybucja, I i II faza biotransformacji, wydalanie Ocena toksycznego oddziaływania trucizn – toksykokinetyka i toksykodynamika. Problem łącznego działania ksenobiotyków. Genotoksyczność związków chemicznych i jej skutki: mutagenność, rakotwórczość i teratogenność. Zaburzenia układu hormonalnego wywołane działaniem trucizn Metody badań toksykologicznych: testy konwencjonalne, mikrobiotesty, testy genotoksyczności, badania kumulacji, testy wielogatunkowe laboratoryjne i badania polowe – ekosystemy wodne i lądowe. Rola biomarkerów w ekotoksykologii. Biokoncentracja, bioakumulacja i biomagnifikacja trucizn w łańcuchu pokarmowym Charakterystyka zanieczyszczeń wody, gleby i powietrza Kryteria oceny szkodliwego oddziaływania substancji chemicznych Wyznaczenie stężeń bezpiecznych związków chemicznych Ekotoksykologiczna ocena ryzyka. Zaliczenie Program ćwiczeń laboratoryjnych: Badania nad wpływem wybranych ksenobiotyków na : • przeżywalność ryb Lebistes reticulatus i larw owadów Chironomus sp. • przeżywalność i procesy fizjologiczne skorupiaków z rodzaju Daphnia (standardowy test ostry i test Fluotox) • młodociane formy organizmów wodnych metodą standardowego testu Toxkit Badania nad wpływem wybranych ksenobiotyków na : • wzrost bakterii Pseudomonas fluorescens • luminescencję bakterii Vibrio fischeri • aktywność dehydrogenazową mikroorganizmów osadu czynnego • wzrost i procesy fizjologiczne glonów Ocena zagrożenia i ryzyka w środowisku na podstawie wybranych metod obliczeniowych Zaliczenie </w:t>
      </w:r>
    </w:p>
    <w:p>
      <w:pPr>
        <w:keepNext w:val="1"/>
        <w:spacing w:after="10"/>
      </w:pPr>
      <w:r>
        <w:rPr>
          <w:b/>
          <w:bCs/>
        </w:rPr>
        <w:t xml:space="preserve">Metody oceny: </w:t>
      </w:r>
    </w:p>
    <w:p>
      <w:pPr>
        <w:spacing w:before="20" w:after="190"/>
      </w:pPr>
      <w:r>
        <w:rPr/>
        <w:t xml:space="preserve">Ocena zintegrowana = 0,6*OW + 0,4*OL Warunki zaliczenia wykładu: Zaliczenie pisemne (test) Warunki zaliczenia ćwiczeń laboratoryjnych: Uczestnictwo w zajęciach, sprawozdania z zajęć, jeden sprawdzian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2026-03-23T06:12:29+01:00</dcterms:created>
  <dcterms:modified xsi:type="dcterms:W3CDTF">2026-03-23T06:12:29+01:00</dcterms:modified>
</cp:coreProperties>
</file>

<file path=docProps/custom.xml><?xml version="1.0" encoding="utf-8"?>
<Properties xmlns="http://schemas.openxmlformats.org/officeDocument/2006/custom-properties" xmlns:vt="http://schemas.openxmlformats.org/officeDocument/2006/docPropsVTypes"/>
</file>