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tym:praca na wykładach 15 godz., zapoznanie się ze wskazana literaturą 15  godz., przygotowanie się do kolokwium 20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[K_W01] 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analiza przypadków,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[K_W02] 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[K_W03] 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 : </w:t>
      </w:r>
    </w:p>
    <w:p>
      <w:pPr/>
      <w:r>
        <w:rPr/>
        <w:t xml:space="preserve">Potrafi prawidłowo obserwować i interpretować zjawiska oraz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 	[K_U02] 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otwartymi,analiza przypadków,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 	[K_U03] 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 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 	[K_K02] : </w:t>
      </w:r>
    </w:p>
    <w:p>
      <w:pPr/>
      <w:r>
        <w:rPr/>
        <w:t xml:space="preserve">Wykazuje się przedsiębiorczością i etycznym zachowaniem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2026-07-10T10:22:04+02:00</dcterms:created>
  <dcterms:modified xsi:type="dcterms:W3CDTF">2026-07-10T10:22:04+02:00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