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Anna Pietnoczka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IC.IK309</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 Fizyki 1 [IC.IK102] i Fizyki 2 [IC.IK203].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tunelowe-mikroskop tunelowy. Mikroskop sił atomowych. Ruch ładunku w polu E i B – spektrometria</w:t>
      </w:r>
    </w:p>
    <w:p>
      <w:pPr>
        <w:keepNext w:val="1"/>
        <w:spacing w:after="10"/>
      </w:pPr>
      <w:r>
        <w:rPr>
          <w:b/>
          <w:bCs/>
        </w:rPr>
        <w:t xml:space="preserve">Metody oceny: </w:t>
      </w:r>
    </w:p>
    <w:p>
      <w:pPr>
        <w:spacing w:before="20" w:after="190"/>
      </w:pPr>
      <w:r>
        <w:rPr/>
        <w:t xml:space="preserve">Wykład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umieszczone na stronie prowadzącego: http://www.if.pw.edu.pl/~pietnoczka/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podstaw fizyki współczesnej, w szczególności opisu materii skondensowanej (w tym struktury pasmowej kryształów) i oddziaływania z promieniowaniem elektromagnetycznym.</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wykorzystać poznane zasady i metody fizyki oraz odpowiednie narzędzia matematyczne do rozwiązywania typowych zadań z mechaniki, termodynamiki, fizyki statystycznej, elektryczności, magnetyzmu, optyki i podstaw mechaniki kwantowej.</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U2: </w:t>
      </w:r>
    </w:p>
    <w:p>
      <w:pPr/>
      <w:r>
        <w:rPr/>
        <w:t xml:space="preserve">Potrafi przeprowadzić podstawowe pomiary fizyczne oraz opracować i przedstawić ich wyniki.</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T1A_U05, 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2 kolokwia, prace domowe</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2024-05-14T00:05:20+02:00</dcterms:created>
  <dcterms:modified xsi:type="dcterms:W3CDTF">2024-05-14T00:05:20+02:00</dcterms:modified>
</cp:coreProperties>
</file>

<file path=docProps/custom.xml><?xml version="1.0" encoding="utf-8"?>
<Properties xmlns="http://schemas.openxmlformats.org/officeDocument/2006/custom-properties" xmlns:vt="http://schemas.openxmlformats.org/officeDocument/2006/docPropsVTypes"/>
</file>