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Prodziekan ds Nauczania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IC.MOB1xx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Na studiach II stopnia studenci specjalności Bioinżynieria, Inżynieria procesów ochrony środowiska i Inżynieria procesów przemysłowych są zobowiązani do uzyskania zaliczenia 60 godzin zajęć o łącznym wymiarze 3 ECTS spośród dowolnie wybranych przedmiotów zawartych w ofercie przedmiotów obieralnych.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zagadnieniami teoretycznymi i praktycznymi dotyczącymi wykładu obieralnego.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Przedmiotami obieralnymi na studiach II stopnia dla studentów danej specjalności są wybrane przedmioty obowiązkowe dla studentów pozostałych specjalności zawarte w programie studiów tych specjalności  i nie ujęte w planie przedmiotów obowiązkowych studiów na specjalności realizowanej przez studenta zgodnie z ofertą:
1. Ekologia (IPOŚ), dostępny dla IPP, BIO, IC.MOB101
2. Gospodarka odpadami stałymi (IPOŚ), dostępny dla IPP, BIO, IC.MOB102
3. Procesy transportowe w organizmach żywych (BIO), dostępny dla IPP, IPOŚ, IC.MOB103
4. Metody inżynierskie w zagadnieniach fizjologii (BIO), dostępny dla IPP, IPOŚ, IC.MOB104
5. Zasady zrównoważonego rozwoju w inż. proc. (IPP), dostępny dla BIO, IPOŚ, IC.MOB105
6. Symulacja komputerowa procesów przemysłowych (IPP), dostępny dla BIO, IPOŚ, 15W+45L, 3 ECTS, IC.MOB106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wg. prowadzącego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ugruntowaną wiedzę z zakresu tematyki przedmiotu obieralnego.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wg. prowadzącego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Rozumie podstawy fizyczne i chemiczne procesów dotyczących przedmiotu obieralnego.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wg. prowadzącego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Zna język angielski na poziomie B2 + i potrafi posługiwać się językiem specjalistycznym z zakresu przedmiotu obieralnego.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wg. prowadzącego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postepować zgodnie z wymogami ekologii i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wg. prowadzącego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pozyskiwać informację z literatury, potrafi je interpretować oraz wyciagać wnioski oraz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wg. prowadzącego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U5: </w:t>
      </w:r>
    </w:p>
    <w:p>
      <w:pPr/>
      <w:r>
        <w:rPr/>
        <w:t xml:space="preserve">Potrafi porozumieć się przy użyciu różnych technik w środowisku zawodowym inżynierii 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wg. prowadzącego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Potrafi identyfikować i rozstrzygać problemy związane z szeroko pojętą inżynierią chemiczną i procesową.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wg. prowadzącego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p>
      <w:pPr>
        <w:keepNext w:val="1"/>
        <w:spacing w:after="10"/>
      </w:pPr>
      <w:r>
        <w:rPr>
          <w:b/>
          <w:bCs/>
        </w:rPr>
        <w:t xml:space="preserve">Efekt KS2: </w:t>
      </w:r>
    </w:p>
    <w:p>
      <w:pPr/>
      <w:r>
        <w:rPr/>
        <w:t xml:space="preserve">Potrafi mysleć i działać w sposób przędsiebiorczy.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wg. prowadzącego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2024-05-10T15:52:31+02:00</dcterms:created>
  <dcterms:modified xsi:type="dcterms:W3CDTF">2024-05-10T15:52:31+02:00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