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Matyjewski, 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40, w tym:
a)	wykład – 15 godz.,
b)	ćwiczenia – 15 godz.,
c)	konsultacje – 10 godz.
2.	Praca własna studenta – 35 godzin, w tym:
a)	 15 godz . – przygotowanie się studenta do kolokwiów w trakcie semestru,
b)	20 godz 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(ukończone wcześniej przedmioty): „Materiały I”, „Mechanika I”, „Wytrzymałość Konstrukcji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semestru, kartkówki.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Szopa T.: Podstawy konstrukcji maszyn. Zasady projektowania i obliczeń inżynierskich. Ofic. Wyd.PW, 2012; 
2. Skoć A., Spałek J.: Podstawy konstrukcji maszyn, t.1. WNT 2006; 
3. Skoć A., Spałek J., Markusik S.: Podstawy konstrukcji maszyn, t.2. WNT 2008;
 4.Podstawy konstrukcji maszyn - pod red. M.Dietricha, WNT 1999;
 5. Norton R.: Machine Design. An Integrated Approach. Prentice Hall 2006; oraz wszystkie inne o podobnej tematyce. 
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ML.NW124_W1: </w:t>
      </w:r>
    </w:p>
    <w:p>
      <w:pPr/>
      <w:r>
        <w:rPr/>
        <w:t xml:space="preserve">Zna ogólne i szczegółowe zasady projektowania oraz procedurę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E1_W08,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</w:t>
      </w:r>
    </w:p>
    <w:p>
      <w:pPr>
        <w:keepNext w:val="1"/>
        <w:spacing w:after="10"/>
      </w:pPr>
      <w:r>
        <w:rPr>
          <w:b/>
          <w:bCs/>
        </w:rPr>
        <w:t xml:space="preserve">Efekt ML.NW124_W2: </w:t>
      </w:r>
    </w:p>
    <w:p>
      <w:pPr/>
      <w:r>
        <w:rPr/>
        <w:t xml:space="preserve">Ma wiedzę o najważniejszych procesach prowadzących do uszkodzeń obiektów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E1_W08,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ML.NW124_U1: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E1_U13,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2024-04-28T22:07:39+02:00</dcterms:created>
  <dcterms:modified xsi:type="dcterms:W3CDTF">2024-04-28T22:07:39+02:00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