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morskich przewozów kontenerowych</w:t>
      </w:r>
    </w:p>
    <w:p>
      <w:pPr>
        <w:keepNext w:val="1"/>
        <w:spacing w:after="10"/>
      </w:pPr>
      <w:r>
        <w:rPr>
          <w:b/>
          <w:bCs/>
        </w:rPr>
        <w:t xml:space="preserve">Koordynator przedmiotu: </w:t>
      </w:r>
    </w:p>
    <w:p>
      <w:pPr>
        <w:spacing w:before="20" w:after="190"/>
      </w:pPr>
      <w:r>
        <w:rPr/>
        <w:t xml:space="preserve">mgr. inż.  Maciej Brzozowski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TR.SMOB19</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godziny, w tym: praca na wykładach: 30 godz., studiowanie literatury przedmiotu: 8 godz., konsultacje: 2 godz., przygotowanie się do egzaminu: 18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i umiejętności z zakresu organizacji i technologii morskich przewozów kontenerowych przy uwzględnieniu procedur stosowanych w transporcie kontenerowym oraz zasad międzynarodowego handlu z wykorzystaniem morskich przewozów kontenerowych (współzależności między umową przewozu a kontraktem handlowym, umową ubezpieczenia i finansowaniem transakcji).</w:t>
      </w:r>
    </w:p>
    <w:p>
      <w:pPr>
        <w:keepNext w:val="1"/>
        <w:spacing w:after="10"/>
      </w:pPr>
      <w:r>
        <w:rPr>
          <w:b/>
          <w:bCs/>
        </w:rPr>
        <w:t xml:space="preserve">Treści kształcenia: </w:t>
      </w:r>
    </w:p>
    <w:p>
      <w:pPr>
        <w:spacing w:before="20" w:after="190"/>
      </w:pPr>
      <w:r>
        <w:rPr/>
        <w:t xml:space="preserve">Rozwój morskich przewozów kontenerowych - historia i stan obecny. Rynek przewozów kontenerowych w Europie i na świecie. Charakterystyka terminali kontenerowych w polskich portach. Megatrendy na rynku przewozów kontenerowych. Terminologia stosowana w transporcie morskim. Funkcjonowanie rynku transportu kontenerowego. Organizacja i procedury morskiego transportu ładunków skonteneryzowanych. Zasady międzynarodowego handlu z wykorzystaniem morskich przewozów kontenerowych (formuły INCOTERMS oraz współzależność między umową przewozu a kontraktem handlowym, umowa ubezpieczenia i finansowanie transakcji). Umowa przewozu i jej znaczenie w realizacji przewozów morskich. Odpowiedzialność przewoźnika i właściciela towaru w transporcie morskim według reguł haskich, hasko-visbijskich oraz innych. Cargo claims. Awaria wspólna. Technologia obsługi w morskich terminalach kontenerowych. Infrastruktura terminali. Przykłady projektów organizacji przewozów kontenerowych w różnych relacjach. Przykłady wybranych technologii przewozów kontenerowych i obsługi w morskich terminalach kontenerowych.</w:t>
      </w:r>
    </w:p>
    <w:p>
      <w:pPr>
        <w:keepNext w:val="1"/>
        <w:spacing w:after="10"/>
      </w:pPr>
      <w:r>
        <w:rPr>
          <w:b/>
          <w:bCs/>
        </w:rPr>
        <w:t xml:space="preserve">Metody oceny: </w:t>
      </w:r>
    </w:p>
    <w:p>
      <w:pPr>
        <w:spacing w:before="20" w:after="190"/>
      </w:pPr>
      <w:r>
        <w:rPr/>
        <w:t xml:space="preserve">Wykład - egzamin obejmujący dwie części: pisemną oraz ustną w formie pytań otwartych.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(red.): "System logistyczny Polski. Uwarunkowania techniczno-technologiczne komodalności transportu". Oficyna Wydawnicza Politechniki Warszawskiej, Warszawa 2012.
2. EcoPorts Port Environmental Review 2009, European Sea Ports Organisation's Rewiev of Environmental Benchmark Performance in collaboration with the EcoPorts Foundation (EPF).
3. ESPO Environmental Code of Practice - materiały Eropean Sea Ports Organisation.</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podbudowaną teoretycznie wiedzę dotyczącą funkcjonowania rynku transportowego oraz megatrendy na nim obowiązujące</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zasady międzynarodowego handlu z wykorzystaniem morskich przewozów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posiada podstawową wiedzę dotyczącą technologii obsługi w morskich terminalach kontenerowych oraz ich infrastrukturę i typy środków obsługiwanych w nich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Tr2A_W09, Tr2A_W08, Tr2A_W07</w:t>
      </w:r>
    </w:p>
    <w:p>
      <w:pPr>
        <w:spacing w:before="20" w:after="190"/>
      </w:pPr>
      <w:r>
        <w:rPr>
          <w:b/>
          <w:bCs/>
        </w:rPr>
        <w:t xml:space="preserve">Powiązane efekty obszarowe: </w:t>
      </w:r>
      <w:r>
        <w:rPr/>
        <w:t xml:space="preserve">T2A_W07, InzA_W02, T2A_W07, InzA_W02, T2A_W05, InzA_W05</w:t>
      </w:r>
    </w:p>
    <w:p>
      <w:pPr>
        <w:keepNext w:val="1"/>
        <w:spacing w:after="10"/>
      </w:pPr>
      <w:r>
        <w:rPr>
          <w:b/>
          <w:bCs/>
        </w:rPr>
        <w:t xml:space="preserve">Efekt W04: </w:t>
      </w:r>
    </w:p>
    <w:p>
      <w:pPr/>
      <w:r>
        <w:rPr/>
        <w:t xml:space="preserve">posiada podbudowaną teoretycznie wiedzę dotyczącą organizacji i procedur morskiego transportu ładunków skonteneryzowanych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 Tr2A_W07</w:t>
      </w:r>
    </w:p>
    <w:p>
      <w:pPr>
        <w:spacing w:before="20" w:after="190"/>
      </w:pPr>
      <w:r>
        <w:rPr>
          <w:b/>
          <w:bCs/>
        </w:rPr>
        <w:t xml:space="preserve">Powiązane efekty obszarowe: </w:t>
      </w:r>
      <w:r>
        <w:rPr/>
        <w:t xml:space="preserve">T2A_W08, InzA_W03, T2A_W07, InzA_W02, 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organizację przewozów kontenerowych w różnych relacjach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Tr2A_U17, Tr2A_U09</w:t>
      </w:r>
    </w:p>
    <w:p>
      <w:pPr>
        <w:spacing w:before="20" w:after="190"/>
      </w:pPr>
      <w:r>
        <w:rPr>
          <w:b/>
          <w:bCs/>
        </w:rPr>
        <w:t xml:space="preserve">Powiązane efekty obszarowe: </w:t>
      </w:r>
      <w:r>
        <w:rPr/>
        <w:t xml:space="preserve">T2A_U19, InzA_U08, T2A_U17, InzA_U06, T2A_U10, InzA_U03</w:t>
      </w:r>
    </w:p>
    <w:p>
      <w:pPr>
        <w:keepNext w:val="1"/>
        <w:spacing w:after="10"/>
      </w:pPr>
      <w:r>
        <w:rPr>
          <w:b/>
          <w:bCs/>
        </w:rPr>
        <w:t xml:space="preserve">Efekt U02: </w:t>
      </w:r>
    </w:p>
    <w:p>
      <w:pPr/>
      <w:r>
        <w:rPr/>
        <w:t xml:space="preserve">potrafi zaprojektować wybrane technologie przewozów kontenerowych i obsługi w morskich terminalach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Tr2A_U18, Tr2A_U16</w:t>
      </w:r>
    </w:p>
    <w:p>
      <w:pPr>
        <w:spacing w:before="20" w:after="190"/>
      </w:pPr>
      <w:r>
        <w:rPr>
          <w:b/>
          <w:bCs/>
        </w:rPr>
        <w:t xml:space="preserve">Powiązane efekty obszarowe: </w:t>
      </w:r>
      <w:r>
        <w:rPr/>
        <w:t xml:space="preserve">T2A_U19, InzA_U08, T2A_U18, InzA_U07, T2A_U17,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2026-05-12T01:22:22+02:00</dcterms:created>
  <dcterms:modified xsi:type="dcterms:W3CDTF">2026-05-12T01:22:22+02:00</dcterms:modified>
</cp:coreProperties>
</file>

<file path=docProps/custom.xml><?xml version="1.0" encoding="utf-8"?>
<Properties xmlns="http://schemas.openxmlformats.org/officeDocument/2006/custom-properties" xmlns:vt="http://schemas.openxmlformats.org/officeDocument/2006/docPropsVTypes"/>
</file>