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godz. - przygotowanie się do kolokwiów,
d)	15 godz. –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ML.NW116_W2: </w:t>
      </w:r>
    </w:p>
    <w:p>
      <w:pPr/>
      <w:r>
        <w:rPr/>
        <w:t xml:space="preserve">Rozumie ograniczenia sprawności konwersji energii w maszynach cieplnych wynikające z II zasady termodynamiki. Zna pojęcie entropii.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ML.NW116_W3: </w:t>
      </w:r>
    </w:p>
    <w:p>
      <w:pPr/>
      <w:r>
        <w:rPr/>
        <w:t xml:space="preserve">Zna modele teoretyczne (przemiany termodynamiczne) gazowych silników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Ma podstawową wiedzę dotyczącą zasad działania urządzeń chłodniczych (w ujęciu termodynamicznym).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Ma wiedzę na temat funkcjonowania siłowni parowych, w tym: rozumie podstawy teoretyczne działań mających na celu podwyższenie sprawności obiegów 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Potrafi wykonać obliczenia bilansowe prostego układu/systemu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T1A_U09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Potrafi ocenić sprawność konwersji energii w urządzeniach cieplnych na gruncie II zasady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T1A_U09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Potrafi wyznaczyć ciepło i pracę przemian odwracalnych gazu doskonałego.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Potrafi wyznaczyć teoretyczną sprawność obiegu gazowego składającego się z przemian odwracalnych.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Potrafi wyznaczyć parametry termofizyczne pary wodnej oraz pracę i ciepło przemian termodynamicznych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2026-09-10T10:52:15+02:00</dcterms:created>
  <dcterms:modified xsi:type="dcterms:W3CDTF">2026-09-10T10:52:15+02:00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