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Mianowski, 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- 15 godz.,
b)	ćwiczenia - 15 godz.,
c)	laboratoria - 15 godz.,
d)	konsultacje - 5 godz.
2.	Praca własna studenta – 50 godzin, w tym:
a)	przygotowanie się do 3 kolokwiów  - 12 godzin,
b)	bieżące przygotowywanie się do laboratoriów ( sprawdziany wiedzy) – 15 godzin,
c)	bieżące przygotowywanie się do ćwiczeń – 10 godzin, 
d)	przygotowywanie się do egzaminu  - 10 godzin.
Razem – 102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- 15 godz.,
b)	ćwiczenia - 15 godz.,
c)	laboratoria - 15 godz.,
d)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1) udział w ćwiczeniach – 15 godz.,
2) udział w laboratoriach – 15 godz.,
3)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"Podstawy Robotyki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(ocena pracy studenta w ramach zajęć, sprawdziany wiedzy, ocena sprawozdań zespołowych z wykonywanych ćwiczeń laboratoryjnych).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Morecki A.: Podstawy robotyki, teoria i elementy manipulatorów i robotów, WNT, Warszawa 1993, wyd. II 1999.
2. Knapczyk J., Lebiediew: Teoria mechniazmów przestrzennych i manipulatorów, WNT, Warszawa 1999.
3. 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http://tmr.meil.pw.edu.pl/index.php?/pol/Dydaktyka/Prowadzone-przedmioty/Podstawy-robotyki-II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ML.NK373_W1: </w:t>
      </w:r>
    </w:p>
    <w:p>
      <w:pPr/>
      <w:r>
        <w:rPr/>
        <w:t xml:space="preserve">Zna teoretyczne podstawy modelowania dynamiki manipulatorów o strukturze szeregowej.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ML.NK373_W2: </w:t>
      </w:r>
    </w:p>
    <w:p>
      <w:pPr/>
      <w:r>
        <w:rPr/>
        <w:t xml:space="preserve">Zna zasady formułowania zadania prostego i odwrotnego dynamiki manipulatora.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ML.NK373_W3: </w:t>
      </w:r>
    </w:p>
    <w:p>
      <w:pPr/>
      <w:r>
        <w:rPr/>
        <w:t xml:space="preserve">Zna metody opisu kinematyki i dynamiki manipulatorów równoległych.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ML.NK373_U1: </w:t>
      </w:r>
    </w:p>
    <w:p>
      <w:pPr/>
      <w:r>
        <w:rPr/>
        <w:t xml:space="preserve">Potrafi wykonać analizę dynamiczną manipulatora niezbędną dla oceny obciążeń elementów jego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ML.NK373_U2: </w:t>
      </w:r>
    </w:p>
    <w:p>
      <w:pPr/>
      <w:r>
        <w:rPr/>
        <w:t xml:space="preserve">Potrafi dokonać doboru układów napędowych i sformułowania założeń dla układu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ML.NK373_U3: </w:t>
      </w:r>
    </w:p>
    <w:p>
      <w:pPr/>
      <w:r>
        <w:rPr/>
        <w:t xml:space="preserve">Potrafi opracować programy sterujące dla robota Irb-6 oraz robota Seekur.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2026-07-08T01:30:19+02:00</dcterms:created>
  <dcterms:modified xsi:type="dcterms:W3CDTF">2026-07-08T01:30:19+02:00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