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Franciszek Dul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ZNZ336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I, Mechanika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ruchu kulistego i ogólnego, ruchu układów o zmiennej masie i zderzeń nieniszczących. Zapoznanie słuchaczy z zastosowaniami przekazanej wiedzy. Nabycie umiejętności rozwiązywania zadań z kinematyki i dynamiki ruchu kulistego.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Kinematyka ruchu kulistego. Dynamika ruchu kulistego bryły sztywnej. Dynamika ruchu ogólnego bryły sztywnej Uproszczona teoria żyroskopu. Zjawiska żyroskopowe. Zastosowania. Ruch układów o zmiennej masie. Ruch rakiet. Zderzenia nieniszczące.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egzamin, test pisemny lub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Leyko, J. , Mechanika Ogólna t.1 i 2. PWN 2004.
2. Osiński, Z. , Mechanika Ogólna. PWN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stanowi dokończenie kursu mechaniki punktu materialnego i bryły sztywnej.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Student ma podstawową wiedzę na temat kinematyki i dynamiki ruchu kulistego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test pisemny lub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Student umie rozwiązywać zadania z kinematyki ruchu kulistego.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T2A_K03: </w:t>
      </w:r>
    </w:p>
    <w:p>
      <w:pPr/>
      <w:r>
        <w:rPr/>
        <w:t xml:space="preserve">Student który zaliczył przedmiot będzie umiał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pracy własnej w trakcie zaliczania przedmiotu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2024-05-09T17:10:01+02:00</dcterms:created>
  <dcterms:modified xsi:type="dcterms:W3CDTF">2024-05-09T17:10:01+02:00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