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30h, laboratoria komputerowe: 15h, przygotowanie do kolokwiów i obecność na kolokwiach: 30h, przygotowanie do laboratorium: 15h, przygotowanie raportów z laboratorium: 20h, RAZEM: 110h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3ECTS (Wykłady: 30h, laboratoria komputerowe: 15h, konsultacje obejmujące przygotowanie do kolokwiów: 10h, wprowadzenie do laboratoriów: 5h, przeprowadzenie i sprawdzenie kolokwiów: 15h, sprawdzenie raportów: 5h, RAZEM: 80h)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(Obecność na laboratoriach komputerowych: 15h, przygotowanie raportów z laboratorium: 15h, RAZEM: 30h)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ML.NW117 - Wytrzymałość konstrukcji 1 (WK1)
ML.NK427- Wytrzymałość konstrukcji 2 (WK2)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																												Ma podstawową wiedzę dotyczącą budowania macierzy sztywności elementów skończonych.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																												Zna ogólne zasady budowy układów równań MES dla zagadnień statycznej analizy naprężeń.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NK342_W3: </w:t>
      </w:r>
    </w:p>
    <w:p>
      <w:pPr/>
      <w:r>
        <w:rPr/>
        <w:t xml:space="preserve">																					Zna schemat działania typowego programu MES.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							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							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																					Potrafi samodzielnie liniowy model MES (ANSYS) konstrukcji powłokowej, wyznaczyć przemieszczenia, odkształcenia i naprężenia, przedstawić je w postaci wartości liczbowych, wykresów i map konturowych oraz wyciągnąć odpowiednie wnioski.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																					Potrafi samodzielnie zbudować i rozwiązać prosty liniowy model MES konstrukcji prętowej dla zadanych warunków obciążenia i podparcia (pręt rozciągany, belka, kratownica, rama).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																					Potrafi wyznaczyć zastępcze obciążenie węzłowe w prętowym i płaskim elemencie skończonym dla prostego przypadku obciążenia.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2024-05-18T15:03:23+02:00</dcterms:created>
  <dcterms:modified xsi:type="dcterms:W3CDTF">2024-05-18T15:03:23+02:00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