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 </w:t>
      </w:r>
    </w:p>
    <w:p>
      <w:pPr>
        <w:keepNext w:val="1"/>
        <w:spacing w:after="10"/>
      </w:pPr>
      <w:r>
        <w:rPr>
          <w:b/>
          <w:bCs/>
        </w:rPr>
        <w:t xml:space="preserve">Koordynator przedmiotu: </w:t>
      </w:r>
    </w:p>
    <w:p>
      <w:pPr>
        <w:spacing w:before="20" w:after="190"/>
      </w:pPr>
      <w:r>
        <w:rPr/>
        <w:t xml:space="preserve">Dr inż. Stanisław Skotnicki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207</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modelowania geometrycznego.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Laboratorium:
1.  Model części. Tworzenie krzywych modelu krawędziowego. Tworzenie powierzchni obrotowej, przeciąganej, wieloprzekrojowej w oparciu o utworzony model. Edycja powierzchni. Tworzenie modelu hybrydowego.
2.   Model części. Tworzenie krzywych modelu krawędziowego. Tworzenie powierzchni brzegowej i walcowej  w oparciu o utworzony model. Edycja powierzchni. Tworzenie modelu hybrydowego.
 3 i 4.  Przygotowanie w systemach 3D CAD geometrii przestrzennej przedmiotu obrabianego oraz półfabrykatu, w celu ich wykorzystywania w systemach 3D CAM do generowania ścieżek dla frezarek CNC i przeprowadzenia wirtualnej symulacji obróbki  dla części typu korpus.
5. Modele części. Tworzenie elementów poszycia nadwozia w oparciu o istniejące modele geometryczne. Tworzenie blaszanych elementów głęboko tłoczonych. Reprezentacja połączeń spawanych, zgrzewanych i klejonych w dokumentacji wykonawczej nadwozia samochodu osobowego.
6.  Geometryczne modelowanie układów dynamicznych. Tworzenie modeli dynamicznych pojazdów i ich zawieszeń. Badanie wpływu parametrów zawieszenia na komfort kierowcy w modelu pojazdu o 2 stopniach swobody. 
Wyznaczenie częstości i postaci drgań własnych na przykładzie modelu pojazdu o minimum 6 stopniach swobody.
7.  Geometryczne modelowanie układów dynamicznych. Wykorzystanie teorii zderzeń do modelowania kontaktu dwóch ciał.
 Tworzenie modeli dynamicznych pojazdów przydatnych do zadań rekonstrukcji wypadków drogowych. 
Budowa modeli mechanicznych uwzględniający kontakt ciał.  Wykonanie symulacji zderzenia dwóch pojazdów 
z uwzględnieniem braku symetrii mas i momentu bezwładności prędkości  początkowych. 
Badanie wpływu położenia środka masy i momentu bezwładności na wartość i kierunek prędkości po-zderzeniowych pojazdów.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2026-01-13T03:05:54+01:00</dcterms:created>
  <dcterms:modified xsi:type="dcterms:W3CDTF">2026-01-13T03:05:54+01:00</dcterms:modified>
</cp:coreProperties>
</file>

<file path=docProps/custom.xml><?xml version="1.0" encoding="utf-8"?>
<Properties xmlns="http://schemas.openxmlformats.org/officeDocument/2006/custom-properties" xmlns:vt="http://schemas.openxmlformats.org/officeDocument/2006/docPropsVTypes"/>
</file>