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prof. dr hab. inż. Jacek Dybała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512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Studia stacjonarne: Łącznie 75 godzin, w tym 30 godzin wykładów, 15 godzin zajęć laboratoryjnych, 10 godzin studiów literaturowych, 10 godzin przygotowania do zajęć laboratoryjnych i 10 godzin przygotowania do egzaminu.
Studia niestacjonarne: Łącznie 75 godzin, w tym 20 godzin wykładów, 10 godzin zajęć laboratoryjnych, 25 godzin studiów literaturowych, 10 godzin przygotowania do zajęć laboratoryjnych i 10 godzin przygotowania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Studia stacjonarne: 1,8
Studia niestacjonarne: 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(studia stacjonarne):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Wykład (studia niestacjonarne):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Hybrydowe sieci neuronowe. Sieci neuronowe SVM (Support Vector Machine).
Laboratorium (studia stacjonarne):
1. Wprowadzenie w środowisko Matlab. Wprowadzenie do Przybornika Globalnej Optymalizacji (Global Optimization Toolbox) i Przybornika Sieci Neuronowych (Neural Network Toolbox) środowiska Matlab.
2. Algorytmy genetyczne w zadaniach optymalizacji.
3. Optymalizacja z ograniczeniami z wykorzystaniem algorytmów genetycznych.
4. Optymalne wymiarowanie konstrukcji za pomocą algorytmu genetycznego.
5. Perceptrony wielowarstwowe w zadaniach klasyfikacji i aproksymacji.
6. Przetwarzanie sygnałów z wykorzystaniem sieci neuronowych.
Laboratorium (studia niestacjonarne):
1. Algorytmy genetyczne w zadaniach optymalizacji bez ograniczeń i z ograniczeniami.
2. Optymalne wymiarowanie konstrukcji za pomocą algorytmu genetycznego.
3. Perceptrony wielowarstwowe w zadaniach klasyfikacji i aproksymacji.
4. Przetwarzanie sygnałów z wykorzystaniem sieci neuronowych.
</w:t>
      </w:r>
    </w:p>
    <w:p>
      <w:pPr>
        <w:keepNext w:val="1"/>
        <w:spacing w:after="10"/>
      </w:pPr>
      <w:r>
        <w:rPr>
          <w:b/>
          <w:bCs/>
        </w:rPr>
        <w:t xml:space="preserve">Metody oceny: </w:t>
      </w:r>
    </w:p>
    <w:p>
      <w:pPr>
        <w:spacing w:before="20" w:after="190"/>
      </w:pPr>
      <w:r>
        <w:rPr/>
        <w:t xml:space="preserve">Ocena z egzaminu i ocena końcowa z laboratorium tworzą ocenę końcową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Osowski, Sieci neuronowe do przetwarzania informacji. Oficyna Wydawnicza Politechniki Warszawskiej, Warszawa, 2006.
[2] W. Duch, J. Korbicz, L. Rutkowski, R. Tadeusiewicz /red./, Sieci neuronowe. Akademicka Oficyna Wydawnicza EXIT, Warszawa, 2000.
[3] S. Osowski, Sieci neuronowe w ujęciu algorytmicznym. Wydawnictwa Naukowo-Techniczne, Warszawa, 1996.
[4] S. Osowski, Sieci neuronowe. Oficyna Wydawnicza Politechniki Warszawskiej, Warszawa, 1994.
[5] R. Tadeusiewicz, Sieci neuronowe. Akademicka Oficyna Wydawnicza RM, Warszawa, 1993. http://winntbg.bg.agh.edu.pl/skrypty/0001/
[6] J. Arabas, Wykłady z algorytmów genetycznych. Wydawnictwa Naukowo-Techniczne, Warszawa, 2004.
[7] Z. Michalewicz, Algorytmy genetyczne + struktury danych = programy ewolucyjne. Wydawnictwa Naukowo-Techniczne, Warszawa, 1996.
[8] D. Rutkowska, M. Piliński, L. Rutkowski, Sieci neuronowe, algorytmy genetyczne i systemy rozmyte. Wydawnictwo Naukowe PWN, Warszawa-Łódź, 1997.
[9] L. Rutkowski, Metody i techniki sztucznej inteligencji. Wydawnictwo Naukowe PWN, Warszawa,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2024-04-29T10:22:33+02:00</dcterms:created>
  <dcterms:modified xsi:type="dcterms:W3CDTF">2024-04-29T10:22:33+02:00</dcterms:modified>
</cp:coreProperties>
</file>

<file path=docProps/custom.xml><?xml version="1.0" encoding="utf-8"?>
<Properties xmlns="http://schemas.openxmlformats.org/officeDocument/2006/custom-properties" xmlns:vt="http://schemas.openxmlformats.org/officeDocument/2006/docPropsVTypes"/>
</file>